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E212A" w14:textId="77777777" w:rsidR="000D60E6" w:rsidRDefault="00000000">
      <w:pPr>
        <w:pStyle w:val="Title"/>
        <w:rPr>
          <w:rFonts w:asciiTheme="majorHAnsi" w:eastAsiaTheme="minorHAnsi" w:hAnsiTheme="majorHAnsi" w:cstheme="minorBidi"/>
          <w:bCs w:val="0"/>
          <w:color w:val="000000" w:themeColor="text1"/>
          <w:sz w:val="48"/>
          <w:szCs w:val="48"/>
          <w:lang w:val="hr-HR" w:eastAsia="en-US"/>
        </w:rPr>
      </w:pPr>
      <w:r>
        <w:rPr>
          <w:rFonts w:asciiTheme="majorHAnsi" w:eastAsiaTheme="minorHAnsi" w:hAnsiTheme="majorHAnsi" w:cstheme="minorBidi"/>
          <w:bCs w:val="0"/>
          <w:color w:val="000000" w:themeColor="text1"/>
          <w:sz w:val="48"/>
          <w:szCs w:val="48"/>
          <w:lang w:val="hr-HR" w:eastAsia="en-US"/>
        </w:rPr>
        <w:t>Nizozemski stambeni model</w:t>
      </w:r>
    </w:p>
    <w:p w14:paraId="462B3A73" w14:textId="77777777" w:rsidR="00C97334" w:rsidRDefault="00C97334">
      <w:pPr>
        <w:pStyle w:val="Title"/>
        <w:rPr>
          <w:rFonts w:asciiTheme="minorHAnsi" w:eastAsiaTheme="minorHAnsi" w:hAnsiTheme="minorHAnsi" w:cstheme="minorBidi"/>
          <w:b w:val="0"/>
          <w:bCs w:val="0"/>
          <w:color w:val="7F7F7F" w:themeColor="text1" w:themeTint="80"/>
          <w:sz w:val="28"/>
          <w:szCs w:val="24"/>
          <w:lang w:val="hr-HR" w:eastAsia="en-US"/>
        </w:rPr>
      </w:pPr>
      <w:r>
        <w:rPr>
          <w:rFonts w:asciiTheme="minorHAnsi" w:eastAsiaTheme="minorHAnsi" w:hAnsiTheme="minorHAnsi" w:cstheme="minorBidi"/>
          <w:b w:val="0"/>
          <w:bCs w:val="0"/>
          <w:color w:val="7F7F7F" w:themeColor="text1" w:themeTint="80"/>
          <w:sz w:val="28"/>
          <w:szCs w:val="24"/>
          <w:lang w:val="hr-HR" w:eastAsia="en-US"/>
        </w:rPr>
        <w:t>Dokaz da se priuštive cijene mogu osigurati bez stalnog državnog ulaganja?</w:t>
      </w:r>
    </w:p>
    <w:p w14:paraId="13CF7895" w14:textId="752A0830" w:rsidR="001F24B5" w:rsidRPr="001F24B5" w:rsidRDefault="001F24B5">
      <w:pPr>
        <w:pStyle w:val="Title"/>
        <w:rPr>
          <w:rFonts w:ascii="Georgia" w:hAnsi="Georgia"/>
          <w:b w:val="0"/>
          <w:bCs w:val="0"/>
          <w:sz w:val="22"/>
          <w:szCs w:val="22"/>
        </w:rPr>
      </w:pPr>
      <w:r w:rsidRPr="001F24B5">
        <w:rPr>
          <w:rFonts w:ascii="Georgia" w:hAnsi="Georgia"/>
          <w:b w:val="0"/>
          <w:bCs w:val="0"/>
          <w:sz w:val="22"/>
          <w:szCs w:val="22"/>
        </w:rPr>
        <w:t>Benedikt Petar Barun</w:t>
      </w:r>
    </w:p>
    <w:p w14:paraId="036E20BA" w14:textId="77777777" w:rsidR="00C97334" w:rsidRPr="0030112B" w:rsidRDefault="00C97334" w:rsidP="00C97334">
      <w:pPr>
        <w:pBdr>
          <w:bottom w:val="single" w:sz="6" w:space="1" w:color="1B3A5C"/>
        </w:pBdr>
        <w:spacing w:after="300"/>
        <w:rPr>
          <w:lang w:val="hr-HR"/>
        </w:rPr>
      </w:pPr>
    </w:p>
    <w:p w14:paraId="32EA35F8" w14:textId="77777777" w:rsidR="006D3689" w:rsidRPr="000D60E6" w:rsidRDefault="00000000">
      <w:pPr>
        <w:pStyle w:val="Heading1"/>
        <w:rPr>
          <w:rFonts w:eastAsiaTheme="minorHAnsi" w:cstheme="minorBidi"/>
          <w:szCs w:val="48"/>
          <w:lang w:val="hr-HR" w:eastAsia="en-US"/>
        </w:rPr>
      </w:pPr>
      <w:r>
        <w:rPr>
          <w:rFonts w:eastAsiaTheme="minorHAnsi" w:cstheme="minorBidi"/>
          <w:szCs w:val="48"/>
          <w:lang w:val="hr-HR" w:eastAsia="en-US"/>
        </w:rPr>
        <w:t>Zašto se baš o Nizozemskoj toliko priča?</w:t>
      </w:r>
    </w:p>
    <w:p w14:paraId="5E253FFC" w14:textId="77777777" w:rsidR="006D3689" w:rsidRDefault="00000000">
      <w:pPr>
        <w:spacing w:after="160" w:line="320" w:lineRule="auto"/>
        <w:jc w:val="both"/>
      </w:pPr>
      <w:r>
        <w:t xml:space="preserve">Gotovo trećina </w:t>
      </w:r>
      <w:r>
        <w:rPr>
          <w:rFonts w:eastAsia="Georgia" w:cs="Georgia"/>
          <w:lang w:val="hr-HR" w:eastAsia="en-US"/>
        </w:rPr>
        <w:t>nizozemskog stambenog</w:t>
      </w:r>
      <w:r>
        <w:t xml:space="preserve"> fonda je socijalna. Točnije 29% ili oko 2,3 milijuna stanova u kojima živi otprilike svaki šesti Nizozemac. Nekoliko konkretnih podataka:</w:t>
      </w:r>
    </w:p>
    <w:p w14:paraId="56149F08" w14:textId="77777777" w:rsidR="000D60E6" w:rsidRDefault="00000000" w:rsidP="000D60E6">
      <w:pPr>
        <w:pStyle w:val="ListParagraph"/>
        <w:numPr>
          <w:ilvl w:val="0"/>
          <w:numId w:val="2"/>
        </w:numPr>
        <w:spacing w:after="80" w:line="300" w:lineRule="auto"/>
      </w:pPr>
      <w:r>
        <w:t xml:space="preserve">Prosječna najamnina u socijalnom sektoru: </w:t>
      </w:r>
      <w:r>
        <w:rPr>
          <w:b/>
          <w:bCs/>
        </w:rPr>
        <w:t>611 eura mjesečno</w:t>
      </w:r>
      <w:r>
        <w:t xml:space="preserve"> (2024.)</w:t>
      </w:r>
    </w:p>
    <w:p w14:paraId="7025D2BD" w14:textId="0ADEC45F" w:rsidR="000D60E6" w:rsidRPr="00D95DAC" w:rsidRDefault="00D95DAC" w:rsidP="00D95DAC">
      <w:pPr>
        <w:pStyle w:val="ListParagraph"/>
        <w:spacing w:after="80" w:line="300" w:lineRule="auto"/>
        <w:ind w:left="1080"/>
        <w:rPr>
          <w:rFonts w:asciiTheme="minorHAnsi" w:eastAsiaTheme="minorHAnsi" w:hAnsiTheme="minorHAnsi" w:cstheme="minorBidi"/>
          <w:color w:val="7F7F7F" w:themeColor="text1" w:themeTint="80"/>
          <w:lang w:val="hr-HR" w:eastAsia="en-US"/>
        </w:rPr>
      </w:pPr>
      <w:r>
        <w:rPr>
          <w:rFonts w:asciiTheme="minorHAnsi" w:eastAsiaTheme="minorHAnsi" w:hAnsiTheme="minorHAnsi" w:cstheme="minorBidi"/>
          <w:color w:val="7F7F7F" w:themeColor="text1" w:themeTint="80"/>
          <w:lang w:val="hr-HR" w:eastAsia="en-US"/>
        </w:rPr>
        <w:t>U privatnom sektoru: 19,3 eur/m</w:t>
      </w:r>
      <w:r>
        <w:rPr>
          <w:rFonts w:asciiTheme="minorHAnsi" w:eastAsiaTheme="minorHAnsi" w:hAnsiTheme="minorHAnsi" w:cstheme="minorBidi"/>
          <w:color w:val="7F7F7F" w:themeColor="text1" w:themeTint="80"/>
          <w:vertAlign w:val="superscript"/>
          <w:lang w:val="hr-HR" w:eastAsia="en-US"/>
        </w:rPr>
        <w:t>2</w:t>
      </w:r>
      <w:r>
        <w:rPr>
          <w:rFonts w:asciiTheme="minorHAnsi" w:eastAsiaTheme="minorHAnsi" w:hAnsiTheme="minorHAnsi" w:cstheme="minorBidi"/>
          <w:color w:val="7F7F7F" w:themeColor="text1" w:themeTint="80"/>
          <w:lang w:val="hr-HR" w:eastAsia="en-US"/>
        </w:rPr>
        <w:t xml:space="preserve"> (2024.), </w:t>
      </w:r>
      <w:r w:rsidR="00796A97">
        <w:rPr>
          <w:rFonts w:asciiTheme="minorHAnsi" w:eastAsiaTheme="minorHAnsi" w:hAnsiTheme="minorHAnsi" w:cstheme="minorBidi"/>
          <w:color w:val="7F7F7F" w:themeColor="text1" w:themeTint="80"/>
          <w:lang w:val="hr-HR" w:eastAsia="en-US"/>
        </w:rPr>
        <w:t>izračunato</w:t>
      </w:r>
      <w:r>
        <w:rPr>
          <w:rFonts w:asciiTheme="minorHAnsi" w:eastAsiaTheme="minorHAnsi" w:hAnsiTheme="minorHAnsi" w:cstheme="minorBidi"/>
          <w:color w:val="7F7F7F" w:themeColor="text1" w:themeTint="80"/>
          <w:lang w:val="hr-HR" w:eastAsia="en-US"/>
        </w:rPr>
        <w:t xml:space="preserve"> za stan od 60 m</w:t>
      </w:r>
      <w:r>
        <w:rPr>
          <w:rFonts w:asciiTheme="minorHAnsi" w:eastAsiaTheme="minorHAnsi" w:hAnsiTheme="minorHAnsi" w:cstheme="minorBidi"/>
          <w:color w:val="7F7F7F" w:themeColor="text1" w:themeTint="80"/>
          <w:vertAlign w:val="superscript"/>
          <w:lang w:val="hr-HR" w:eastAsia="en-US"/>
        </w:rPr>
        <w:t>2</w:t>
      </w:r>
      <w:r>
        <w:rPr>
          <w:rFonts w:asciiTheme="minorHAnsi" w:eastAsiaTheme="minorHAnsi" w:hAnsiTheme="minorHAnsi" w:cstheme="minorBidi"/>
          <w:color w:val="7F7F7F" w:themeColor="text1" w:themeTint="80"/>
          <w:lang w:val="hr-HR" w:eastAsia="en-US"/>
        </w:rPr>
        <w:t xml:space="preserve"> mjesečna najamnina iznosi 1158 eura</w:t>
      </w:r>
    </w:p>
    <w:p w14:paraId="76129EE2" w14:textId="77777777" w:rsidR="006D3689" w:rsidRDefault="00000000">
      <w:pPr>
        <w:pStyle w:val="ListParagraph"/>
        <w:numPr>
          <w:ilvl w:val="0"/>
          <w:numId w:val="2"/>
        </w:numPr>
        <w:spacing w:after="80" w:line="300" w:lineRule="auto"/>
      </w:pPr>
      <w:r>
        <w:t xml:space="preserve">Prosječna veličina stana: </w:t>
      </w:r>
      <w:r>
        <w:rPr>
          <w:b/>
          <w:bCs/>
        </w:rPr>
        <w:t>90 m² za obiteljsku kuću, 68 m² za stan u zgradi</w:t>
      </w:r>
    </w:p>
    <w:p w14:paraId="43663877" w14:textId="77777777" w:rsidR="006D3689" w:rsidRDefault="00000000">
      <w:pPr>
        <w:pStyle w:val="ListParagraph"/>
        <w:numPr>
          <w:ilvl w:val="0"/>
          <w:numId w:val="2"/>
        </w:numPr>
        <w:spacing w:after="80" w:line="300" w:lineRule="auto"/>
      </w:pPr>
      <w:r>
        <w:t xml:space="preserve">Ukupna vrijednost sektora: </w:t>
      </w:r>
      <w:r>
        <w:rPr>
          <w:b/>
          <w:bCs/>
        </w:rPr>
        <w:t>preko 100 milijardi eura</w:t>
      </w:r>
    </w:p>
    <w:p w14:paraId="43910A84" w14:textId="77777777" w:rsidR="006D3689" w:rsidRDefault="00000000">
      <w:pPr>
        <w:pStyle w:val="ListParagraph"/>
        <w:numPr>
          <w:ilvl w:val="0"/>
          <w:numId w:val="2"/>
        </w:numPr>
        <w:spacing w:after="80" w:line="300" w:lineRule="auto"/>
      </w:pPr>
      <w:r>
        <w:t>Sve to bez izravnih državnih subvencija</w:t>
      </w:r>
    </w:p>
    <w:p w14:paraId="2E4D4943" w14:textId="77777777" w:rsidR="006D3689" w:rsidRDefault="00000000">
      <w:pPr>
        <w:spacing w:after="160" w:line="320" w:lineRule="auto"/>
        <w:jc w:val="both"/>
      </w:pPr>
      <w:r>
        <w:t xml:space="preserve">U europskoj raspravi o stambenoj politici, nizozemski model jedan je od najčešće citiranih primjera. Zajedno s bečkim Gemeindewohnungen i singapurskim HDB sustavom, čini malu skupinu institucionalnih rješenja kojima zemlje s ozbiljnom stambenom krizom traže inspiraciju. Ono što nizozemski slučaj čini posebnim nije veličina sektora, Beč ima sličan udio, nego njegova struktura: decentralizirana mreža neprofitnih organizacija koja generira interna sredstva za održavanje i obnovu kroz mehanizam koji se često naziva </w:t>
      </w:r>
      <w:r>
        <w:rPr>
          <w:i/>
          <w:iCs/>
        </w:rPr>
        <w:t>revolving fund</w:t>
      </w:r>
      <w:r>
        <w:t>.</w:t>
      </w:r>
    </w:p>
    <w:p w14:paraId="66006AFA" w14:textId="77777777" w:rsidR="006D3689" w:rsidRPr="001C72BB" w:rsidRDefault="00000000">
      <w:pPr>
        <w:spacing w:after="160" w:line="320" w:lineRule="auto"/>
        <w:jc w:val="both"/>
        <w:rPr>
          <w:i/>
          <w:iCs/>
        </w:rPr>
      </w:pPr>
      <w:r>
        <w:t xml:space="preserve">Cilj ovog članka je opisati taj sustav onakav kakav jest, kako je nastao, kako funkcionira, što postiže, i s kojim se izazovima trenutno susreće. Kroz tekst se provlači jedno pitanje koje je relevantno za svako društvo koje razmišlja o stanovanju kao predmetu javne politike: </w:t>
      </w:r>
      <w:r>
        <w:rPr>
          <w:i/>
          <w:iCs/>
        </w:rPr>
        <w:t>koja je uloga države, i u kojem obliku se ta uloga može odraziti?</w:t>
      </w:r>
    </w:p>
    <w:p w14:paraId="3914D848" w14:textId="674831B2" w:rsidR="00D95DAC" w:rsidRDefault="004572C0" w:rsidP="00D95DAC">
      <w:pPr>
        <w:spacing w:after="160" w:line="320" w:lineRule="auto"/>
        <w:jc w:val="center"/>
      </w:pPr>
      <w:r>
        <w:lastRenderedPageBreak/>
        <w:fldChar w:fldCharType="begin"/>
      </w:r>
      <w:r>
        <w:instrText xml:space="preserve"> INCLUDEPICTURE "/Users/benediktbarun/Library/Group Containers/UBF8T346G9.ms/WebArchiveCopyPasteTempFiles/com.microsoft.Word/461336972_f635a806fc_b.jpg" \* MERGEFORMATINET </w:instrText>
      </w:r>
      <w:r>
        <w:fldChar w:fldCharType="separate"/>
      </w:r>
      <w:r>
        <w:rPr>
          <w:noProof/>
        </w:rPr>
        <w:drawing>
          <wp:inline distT="0" distB="0" distL="0" distR="0" wp14:anchorId="35B5C74F" wp14:editId="6A8FCEEE">
            <wp:extent cx="3818674" cy="2547756"/>
            <wp:effectExtent l="0" t="0" r="4445" b="5080"/>
            <wp:docPr id="1384862505" name="Picture 1" descr="Row houses | Borneo Island, Amsterdam | Johan Nilsson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w houses | Borneo Island, Amsterdam | Johan Nilsson | Flick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1245" cy="2602846"/>
                    </a:xfrm>
                    <a:prstGeom prst="rect">
                      <a:avLst/>
                    </a:prstGeom>
                    <a:noFill/>
                    <a:ln>
                      <a:noFill/>
                    </a:ln>
                  </pic:spPr>
                </pic:pic>
              </a:graphicData>
            </a:graphic>
          </wp:inline>
        </w:drawing>
      </w:r>
      <w:r>
        <w:fldChar w:fldCharType="end"/>
      </w:r>
    </w:p>
    <w:p w14:paraId="6FBA055D" w14:textId="77777777" w:rsidR="006D3689" w:rsidRDefault="00000000">
      <w:pPr>
        <w:pStyle w:val="Heading1"/>
      </w:pPr>
      <w:r>
        <w:t>Što su zapravo woningcorporaties?</w:t>
      </w:r>
    </w:p>
    <w:p w14:paraId="4E6CBE5D" w14:textId="77777777" w:rsidR="006D3689" w:rsidRDefault="00000000">
      <w:pPr>
        <w:spacing w:after="160" w:line="320" w:lineRule="auto"/>
        <w:jc w:val="both"/>
      </w:pPr>
      <w:r>
        <w:t>One nisu državne agencije, ali nisu ni klasične privatne tvrtke. Pravno, riječ je o zakladama (</w:t>
      </w:r>
      <w:r>
        <w:rPr>
          <w:i/>
          <w:iCs/>
        </w:rPr>
        <w:t>stichtingen</w:t>
      </w:r>
      <w:r>
        <w:t>) ili udrugama (</w:t>
      </w:r>
      <w:r>
        <w:rPr>
          <w:i/>
          <w:iCs/>
        </w:rPr>
        <w:t>verenigingen</w:t>
      </w:r>
      <w:r>
        <w:t>) priznatima prema Woningwetu (Zakonu o stanovanju) iz 1901.</w:t>
      </w:r>
    </w:p>
    <w:p w14:paraId="3CCFE01C" w14:textId="77777777" w:rsidR="006D3689" w:rsidRDefault="00000000">
      <w:pPr>
        <w:spacing w:after="160" w:line="320" w:lineRule="auto"/>
        <w:jc w:val="both"/>
      </w:pPr>
      <w:r>
        <w:t>Njihove glavne karakteristike:</w:t>
      </w:r>
    </w:p>
    <w:p w14:paraId="0DD56259" w14:textId="77777777" w:rsidR="006D3689" w:rsidRDefault="00000000">
      <w:pPr>
        <w:pStyle w:val="ListParagraph"/>
        <w:numPr>
          <w:ilvl w:val="0"/>
          <w:numId w:val="2"/>
        </w:numPr>
        <w:spacing w:after="80" w:line="300" w:lineRule="auto"/>
      </w:pPr>
      <w:r>
        <w:rPr>
          <w:b/>
          <w:bCs/>
        </w:rPr>
        <w:t>Nemaju dioničara</w:t>
      </w:r>
      <w:r>
        <w:t xml:space="preserve"> i ne isplaćuju dividende</w:t>
      </w:r>
    </w:p>
    <w:p w14:paraId="4E2AB172" w14:textId="77777777" w:rsidR="006D3689" w:rsidRDefault="00000000">
      <w:pPr>
        <w:pStyle w:val="ListParagraph"/>
        <w:numPr>
          <w:ilvl w:val="0"/>
          <w:numId w:val="2"/>
        </w:numPr>
        <w:spacing w:after="80" w:line="300" w:lineRule="auto"/>
      </w:pPr>
      <w:r>
        <w:rPr>
          <w:b/>
          <w:bCs/>
        </w:rPr>
        <w:t>Sve viškove moraju reinvestirati</w:t>
      </w:r>
      <w:r>
        <w:t xml:space="preserve"> u stanovanje kao osnovnu djelatnost</w:t>
      </w:r>
    </w:p>
    <w:p w14:paraId="56E63655" w14:textId="77777777" w:rsidR="006D3689" w:rsidRDefault="00000000">
      <w:pPr>
        <w:pStyle w:val="ListParagraph"/>
        <w:numPr>
          <w:ilvl w:val="0"/>
          <w:numId w:val="2"/>
        </w:numPr>
        <w:spacing w:after="80" w:line="300" w:lineRule="auto"/>
      </w:pPr>
      <w:r>
        <w:rPr>
          <w:b/>
          <w:bCs/>
        </w:rPr>
        <w:t>Plaće uprave su zakonski ograničene</w:t>
      </w:r>
      <w:r>
        <w:t xml:space="preserve"> prema veličini organizacije</w:t>
      </w:r>
    </w:p>
    <w:p w14:paraId="58BF4580" w14:textId="77777777" w:rsidR="006D3689" w:rsidRDefault="00000000">
      <w:pPr>
        <w:pStyle w:val="ListParagraph"/>
        <w:numPr>
          <w:ilvl w:val="0"/>
          <w:numId w:val="2"/>
        </w:numPr>
        <w:spacing w:after="80" w:line="300" w:lineRule="auto"/>
      </w:pPr>
      <w:r>
        <w:rPr>
          <w:b/>
          <w:bCs/>
        </w:rPr>
        <w:t>Obavljaju tri uloge istovremeno</w:t>
      </w:r>
      <w:r>
        <w:t>: najmodavac, developer i upravitelj imovinom</w:t>
      </w:r>
    </w:p>
    <w:p w14:paraId="3CDA2B8C" w14:textId="77777777" w:rsidR="006D3689" w:rsidRDefault="00000000">
      <w:pPr>
        <w:spacing w:after="160" w:line="320" w:lineRule="auto"/>
        <w:jc w:val="both"/>
      </w:pPr>
      <w:r>
        <w:t>Početkom 2025. u Nizozemskoj djeluje 269 woningcorporaties. Veličine im se znatno razlikuju, od malih lokalnih organizacija s manje od 400 stanova, do regionalnih igrača poput Ymere s preko 70.000 jedinica.</w:t>
      </w:r>
    </w:p>
    <w:p w14:paraId="18C570DB" w14:textId="77777777" w:rsidR="006D3689" w:rsidRDefault="00000000">
      <w:pPr>
        <w:spacing w:after="160" w:line="320" w:lineRule="auto"/>
        <w:jc w:val="both"/>
      </w:pPr>
      <w:r>
        <w:t xml:space="preserve">Sustav nadzire nezavisni regulator </w:t>
      </w:r>
      <w:r>
        <w:rPr>
          <w:i/>
          <w:iCs/>
        </w:rPr>
        <w:t>Autoriteit woningcorporaties</w:t>
      </w:r>
      <w:r>
        <w:t xml:space="preserve">, a krovna udruga Aedes zastupa sektor u dijalogu s vladom. Na lokalnoj razini, svaka corporatie sklapa </w:t>
      </w:r>
      <w:r>
        <w:rPr>
          <w:i/>
          <w:iCs/>
        </w:rPr>
        <w:t>prestatieafspraken</w:t>
      </w:r>
      <w:r>
        <w:t xml:space="preserve"> (sporazume o izvedbi) sa svojom općinom i udrugom najmoprimaca, kojima se određuje koliko će se stanova graditi i obnavljati.</w:t>
      </w:r>
    </w:p>
    <w:p w14:paraId="6987309D" w14:textId="77777777" w:rsidR="006D3689" w:rsidRDefault="00000000">
      <w:pPr>
        <w:pStyle w:val="Heading1"/>
      </w:pPr>
      <w:r>
        <w:t>Kako je sve počelo? Od radničkih udjela do državnog instrumenta</w:t>
      </w:r>
    </w:p>
    <w:p w14:paraId="0260D393" w14:textId="3E34AD67" w:rsidR="006D3689" w:rsidRDefault="00000000">
      <w:pPr>
        <w:spacing w:after="160" w:line="320" w:lineRule="auto"/>
        <w:jc w:val="both"/>
      </w:pPr>
      <w:r>
        <w:t xml:space="preserve">Prve woningcorporaties pojavile su se </w:t>
      </w:r>
      <w:r w:rsidR="00183E98">
        <w:t>1852. godine</w:t>
      </w:r>
      <w:r>
        <w:t xml:space="preserve"> kao odgovor na uvjete u industrijskim gradovima. Pokretali su ih sindikati, vjerske zajednice i skupine reformatora, motivirani uvjerenjem da su uvjeti u kojima živi radnička klasa neprihvatljivi.</w:t>
      </w:r>
    </w:p>
    <w:p w14:paraId="57A16E64" w14:textId="77777777" w:rsidR="006D3689" w:rsidRDefault="00000000">
      <w:pPr>
        <w:spacing w:after="160" w:line="320" w:lineRule="auto"/>
        <w:jc w:val="both"/>
      </w:pPr>
      <w:r>
        <w:t xml:space="preserve">Početni kapital prikupljao se prodajom udjela. Za prvu zabilježenu corporatie, </w:t>
      </w:r>
      <w:r>
        <w:rPr>
          <w:i/>
          <w:iCs/>
        </w:rPr>
        <w:t>De Vereeniging ten Behoeve der Arbeidersklasse</w:t>
      </w:r>
      <w:r>
        <w:t xml:space="preserve"> (Udruga u korist radničke klase), prodano je 25 udjela po </w:t>
      </w:r>
      <w:r>
        <w:lastRenderedPageBreak/>
        <w:t xml:space="preserve">2.000 guldena. Ulagači su dobivali skroman godišnji povrat ograničen na 3 do 4 posto, dok se sve iznad toga reinvestiralo. Taj model često se naziva </w:t>
      </w:r>
      <w:r>
        <w:rPr>
          <w:i/>
          <w:iCs/>
        </w:rPr>
        <w:t>filantropskim kapitalizmom</w:t>
      </w:r>
      <w:r>
        <w:t>.</w:t>
      </w:r>
    </w:p>
    <w:p w14:paraId="6714D0D0" w14:textId="77777777" w:rsidR="006D3689" w:rsidRDefault="00000000">
      <w:pPr>
        <w:spacing w:after="160" w:line="320" w:lineRule="auto"/>
        <w:jc w:val="both"/>
      </w:pPr>
      <w:r>
        <w:t>Razvoj sustava može se podijeliti u četiri jasne faze: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6D3689" w14:paraId="6F743971" w14:textId="77777777" w:rsidTr="000D60E6">
        <w:trPr>
          <w:tblHeader/>
        </w:trPr>
        <w:tc>
          <w:tcPr>
            <w:tcW w:w="2200" w:type="dxa"/>
            <w:tcBorders>
              <w:top w:val="single" w:sz="6" w:space="0" w:color="1F3864"/>
              <w:left w:val="single" w:sz="4" w:space="0" w:color="BFBFBF"/>
              <w:bottom w:val="single" w:sz="6" w:space="0" w:color="1F3864"/>
              <w:right w:val="single" w:sz="4" w:space="0" w:color="BFBFBF"/>
            </w:tcBorders>
            <w:shd w:val="clear" w:color="auto" w:fill="000000" w:themeFill="text1"/>
            <w:tcMar>
              <w:top w:w="80" w:type="dxa"/>
              <w:left w:w="120" w:type="dxa"/>
              <w:bottom w:w="80" w:type="dxa"/>
              <w:right w:w="120" w:type="dxa"/>
            </w:tcMar>
          </w:tcPr>
          <w:p w14:paraId="249BAE48" w14:textId="77777777" w:rsidR="006D3689" w:rsidRDefault="00000000">
            <w:r>
              <w:rPr>
                <w:b/>
                <w:bCs/>
              </w:rPr>
              <w:t>Razdoblje</w:t>
            </w:r>
          </w:p>
        </w:tc>
        <w:tc>
          <w:tcPr>
            <w:tcW w:w="6826" w:type="dxa"/>
            <w:tcBorders>
              <w:top w:val="single" w:sz="6" w:space="0" w:color="1F3864"/>
              <w:left w:val="single" w:sz="4" w:space="0" w:color="BFBFBF"/>
              <w:bottom w:val="single" w:sz="6" w:space="0" w:color="1F3864"/>
              <w:right w:val="single" w:sz="4" w:space="0" w:color="BFBFBF"/>
            </w:tcBorders>
            <w:shd w:val="clear" w:color="auto" w:fill="000000" w:themeFill="text1"/>
            <w:tcMar>
              <w:top w:w="80" w:type="dxa"/>
              <w:left w:w="120" w:type="dxa"/>
              <w:bottom w:w="80" w:type="dxa"/>
              <w:right w:w="120" w:type="dxa"/>
            </w:tcMar>
          </w:tcPr>
          <w:p w14:paraId="0379B728" w14:textId="77777777" w:rsidR="006D3689" w:rsidRDefault="00000000">
            <w:r>
              <w:rPr>
                <w:b/>
                <w:bCs/>
              </w:rPr>
              <w:t>Karakteristika</w:t>
            </w:r>
          </w:p>
        </w:tc>
      </w:tr>
      <w:tr w:rsidR="006D3689" w14:paraId="1ABDAE4D"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8CCA1EE" w14:textId="77777777" w:rsidR="006D3689" w:rsidRDefault="00000000">
            <w:r>
              <w:rPr>
                <w:b/>
                <w:bCs/>
              </w:rPr>
              <w:t>do 1901.</w:t>
            </w:r>
          </w:p>
        </w:tc>
        <w:tc>
          <w:tcPr>
            <w:tcW w:w="6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D6D074B" w14:textId="77777777" w:rsidR="006D3689" w:rsidRDefault="00000000">
            <w:r>
              <w:t>Privatna inicijativa s ograničenim profitom</w:t>
            </w:r>
          </w:p>
        </w:tc>
      </w:tr>
      <w:tr w:rsidR="006D3689" w14:paraId="3C3BA715"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9D48295" w14:textId="77777777" w:rsidR="006D3689" w:rsidRDefault="00000000">
            <w:r>
              <w:rPr>
                <w:b/>
                <w:bCs/>
              </w:rPr>
              <w:t>1901.–1990.</w:t>
            </w:r>
          </w:p>
        </w:tc>
        <w:tc>
          <w:tcPr>
            <w:tcW w:w="6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8A27A53" w14:textId="77777777" w:rsidR="006D3689" w:rsidRDefault="00000000">
            <w:r>
              <w:t>Državni krediti i subvencije, snažan rast sektora</w:t>
            </w:r>
          </w:p>
        </w:tc>
      </w:tr>
      <w:tr w:rsidR="006D3689" w14:paraId="77AE1591"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7859DCE" w14:textId="77777777" w:rsidR="006D3689" w:rsidRDefault="00000000">
            <w:r>
              <w:rPr>
                <w:b/>
                <w:bCs/>
              </w:rPr>
              <w:t>1995.</w:t>
            </w:r>
          </w:p>
        </w:tc>
        <w:tc>
          <w:tcPr>
            <w:tcW w:w="6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C03C51F" w14:textId="77777777" w:rsidR="006D3689" w:rsidRDefault="00000000">
            <w:r>
              <w:t>Brutering: financijski rez koji mijenja sve</w:t>
            </w:r>
          </w:p>
        </w:tc>
      </w:tr>
      <w:tr w:rsidR="006D3689" w14:paraId="175B9ADC"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C7E5DAD" w14:textId="77777777" w:rsidR="006D3689" w:rsidRDefault="00000000">
            <w:r>
              <w:rPr>
                <w:b/>
                <w:bCs/>
              </w:rPr>
              <w:t>1995.–danas</w:t>
            </w:r>
          </w:p>
        </w:tc>
        <w:tc>
          <w:tcPr>
            <w:tcW w:w="6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6DC9562" w14:textId="77777777" w:rsidR="006D3689" w:rsidRDefault="00000000">
            <w:r>
              <w:t>Samostalno djelovanje na akumuliranom kapitalu</w:t>
            </w:r>
          </w:p>
        </w:tc>
      </w:tr>
    </w:tbl>
    <w:p w14:paraId="30509DA0" w14:textId="77777777" w:rsidR="006D3689" w:rsidRDefault="006D3689">
      <w:pPr>
        <w:spacing w:after="160"/>
      </w:pPr>
    </w:p>
    <w:p w14:paraId="1FBBC357" w14:textId="77777777" w:rsidR="006D3689" w:rsidRDefault="00000000">
      <w:pPr>
        <w:spacing w:after="160" w:line="320" w:lineRule="auto"/>
        <w:jc w:val="both"/>
      </w:pPr>
      <w:r>
        <w:t>Najvažnija prekretnica bio je Woningwet iz 1901., koji je formalno priznao stambene udruge kao instrument javne politike i otvorio im pristup državnim kreditima po kamatama bliskim onima koje je sama država plaćala, s rokovima otplate do 50 godina. Pravi val rasta došao je nakon Drugog svjetskog rata, kad je kabinet Drees prepoznao woningcorporaties kao glavni instrument za rješavanje poslijeratne stambene oskudice. Do kraja tog razdoblja masivnog javnog ulaganja, socijalno stanovanje doseglo je oko 37% ukupnog stambenog fonda.</w:t>
      </w:r>
    </w:p>
    <w:p w14:paraId="0141ADA3" w14:textId="77777777" w:rsidR="006D3689" w:rsidRDefault="00000000">
      <w:pPr>
        <w:pStyle w:val="Heading1"/>
      </w:pPr>
      <w:r>
        <w:t>Što je brutering i zašto je toliko važan?</w:t>
      </w:r>
    </w:p>
    <w:p w14:paraId="0D57644B" w14:textId="30E77066" w:rsidR="009A4959" w:rsidRDefault="009A4959" w:rsidP="009A4959">
      <w:pPr>
        <w:spacing w:after="160" w:line="320" w:lineRule="auto"/>
        <w:jc w:val="both"/>
      </w:pPr>
      <w:r>
        <w:t>Brutering iz 1995. je pojam iz nizozemskog računovodstva koji označava istovremeno poništavanje međusobnih obveza dviju strana. Država je imala potraživanja prema corporatiama za stare kredite, dok su corporatie</w:t>
      </w:r>
      <w:r w:rsidR="00FF6679">
        <w:t>s</w:t>
      </w:r>
      <w:r>
        <w:t xml:space="preserve"> imale pravo na buduće subvencije od države - obje obveze bile su gotovo u istom iznosu, pa su jednostavno otpisane jedna protiv druge.</w:t>
      </w:r>
    </w:p>
    <w:p w14:paraId="6CAF4E29" w14:textId="39CFBD8A" w:rsidR="009A4959" w:rsidRDefault="009A4959" w:rsidP="009A4959">
      <w:pPr>
        <w:spacing w:after="160" w:line="320" w:lineRule="auto"/>
        <w:jc w:val="both"/>
      </w:pPr>
      <w:r>
        <w:t xml:space="preserve">To je bio trenutak u kojem </w:t>
      </w:r>
      <w:r w:rsidRPr="00B11F92">
        <w:rPr>
          <w:b/>
          <w:bCs/>
        </w:rPr>
        <w:t>corporatie</w:t>
      </w:r>
      <w:r w:rsidR="00FF6679" w:rsidRPr="00B11F92">
        <w:rPr>
          <w:b/>
          <w:bCs/>
        </w:rPr>
        <w:t>s</w:t>
      </w:r>
      <w:r w:rsidRPr="00B11F92">
        <w:rPr>
          <w:b/>
          <w:bCs/>
        </w:rPr>
        <w:t xml:space="preserve"> postaju financijski samostalne i neovisne</w:t>
      </w:r>
      <w:r>
        <w:t>. Od tada moraju samostalno pokrivati troškove iz prihoda od najamnina, financirati gradnju kroz dugoročno zaduživanje i koristiti prodaju dijela fonda kao izvor dodatnog kapitala. Da bi takav model uopće funkcionirao, sektor je morao biti dovoljno kapitaliziran, profesionaliziran i operativno zreo - što je upravo ono što ga čini iznimnim primjerom.</w:t>
      </w:r>
    </w:p>
    <w:p w14:paraId="6CAA3E8F" w14:textId="0151959E" w:rsidR="009A4959" w:rsidRDefault="009A4959" w:rsidP="009A4959">
      <w:pPr>
        <w:spacing w:after="160" w:line="320" w:lineRule="auto"/>
        <w:jc w:val="both"/>
      </w:pPr>
      <w:r>
        <w:t>Upravo to je razlog zašto sustav privlači toliku pažnju: nakon 1995. djeluje kao da ne treba državu. Ali tih 37% stambenog fonda koji su corporatie</w:t>
      </w:r>
      <w:r w:rsidR="00FF6679">
        <w:t>s</w:t>
      </w:r>
      <w:r>
        <w:t xml:space="preserve"> posjedovale </w:t>
      </w:r>
      <w:r w:rsidR="00FF6679">
        <w:t>u tom</w:t>
      </w:r>
      <w:r>
        <w:t xml:space="preserve"> trenut</w:t>
      </w:r>
      <w:r w:rsidR="00FF6679">
        <w:t>ku</w:t>
      </w:r>
      <w:r>
        <w:t xml:space="preserve"> nastao</w:t>
      </w:r>
      <w:r w:rsidR="00B11F92">
        <w:t xml:space="preserve"> je</w:t>
      </w:r>
      <w:r>
        <w:t xml:space="preserve"> iz stoljeća javnih ulaganja koja su stvorila trajni kapital. Drugim riječima, samostalnost sektora je stvarna, ali je nastala uz dugotrajni državni utjecaj.</w:t>
      </w:r>
    </w:p>
    <w:p w14:paraId="4C63B360" w14:textId="77777777" w:rsidR="006D3689" w:rsidRDefault="00000000">
      <w:pPr>
        <w:pStyle w:val="Heading1"/>
      </w:pPr>
      <w:r>
        <w:t>Kako financijski model funkcionira?</w:t>
      </w:r>
    </w:p>
    <w:p w14:paraId="27E550AE" w14:textId="77777777" w:rsidR="006D3689" w:rsidRDefault="00000000">
      <w:pPr>
        <w:spacing w:after="160" w:line="320" w:lineRule="auto"/>
        <w:jc w:val="both"/>
      </w:pPr>
      <w:r>
        <w:t>Tri glavna mehanizma omogućuju sustavu da radi bez izravnih subvencija.</w:t>
      </w:r>
    </w:p>
    <w:p w14:paraId="2354DEC8" w14:textId="77777777" w:rsidR="006D3689" w:rsidRDefault="00000000" w:rsidP="00D95DAC">
      <w:pPr>
        <w:pStyle w:val="ListParagraph"/>
        <w:numPr>
          <w:ilvl w:val="0"/>
          <w:numId w:val="7"/>
        </w:numPr>
        <w:spacing w:after="160" w:line="320" w:lineRule="auto"/>
        <w:jc w:val="both"/>
      </w:pPr>
      <w:r>
        <w:t xml:space="preserve">prihodi od najamnina pokrivaju ne samo operativne troškove, nego ostavljaju i operativni višak. Stanovi sagrađeni prije nekoliko desetljeća, čiji su zajmovi otplaćeni, </w:t>
      </w:r>
      <w:r>
        <w:lastRenderedPageBreak/>
        <w:t>generiraju najamninu koja se može preusmjeriti u nove projekte. To je jezgra revolving funda.</w:t>
      </w:r>
    </w:p>
    <w:p w14:paraId="09F361A5" w14:textId="77777777" w:rsidR="006D3689" w:rsidRDefault="00000000" w:rsidP="00D95DAC">
      <w:pPr>
        <w:pStyle w:val="ListParagraph"/>
        <w:numPr>
          <w:ilvl w:val="0"/>
          <w:numId w:val="7"/>
        </w:numPr>
        <w:spacing w:after="160" w:line="320" w:lineRule="auto"/>
        <w:jc w:val="both"/>
      </w:pPr>
      <w:r>
        <w:t xml:space="preserve">jamstveni fond </w:t>
      </w:r>
      <w:r>
        <w:rPr>
          <w:i/>
          <w:iCs/>
        </w:rPr>
        <w:t>Waarborgfonds Sociale Woningbouw</w:t>
      </w:r>
      <w:r>
        <w:t xml:space="preserve"> (WSW), osnovan 1983., omogućuje corporaties pristup dugoročnom kapitalu po vrlo povoljnim uvjetima. Ako bi neka corporatie zapala u financijske probleme, WSW preuzima obvezu prema banci. Sustav osiguranja je višeslojan:</w:t>
      </w:r>
    </w:p>
    <w:p w14:paraId="58F5B940" w14:textId="77777777" w:rsidR="006D3689" w:rsidRDefault="00000000">
      <w:pPr>
        <w:pStyle w:val="ListParagraph"/>
        <w:numPr>
          <w:ilvl w:val="0"/>
          <w:numId w:val="3"/>
        </w:numPr>
        <w:spacing w:after="80"/>
      </w:pPr>
      <w:r>
        <w:t>Prvo se koriste vlastita sredstva fonda</w:t>
      </w:r>
    </w:p>
    <w:p w14:paraId="65D0C2EF" w14:textId="77777777" w:rsidR="006D3689" w:rsidRDefault="00000000">
      <w:pPr>
        <w:pStyle w:val="ListParagraph"/>
        <w:numPr>
          <w:ilvl w:val="0"/>
          <w:numId w:val="3"/>
        </w:numPr>
        <w:spacing w:after="80"/>
      </w:pPr>
      <w:r>
        <w:t>Zatim se naplaćuje doprinos od ostalih corporaties</w:t>
      </w:r>
    </w:p>
    <w:p w14:paraId="14D3403D" w14:textId="77777777" w:rsidR="006D3689" w:rsidRDefault="00000000">
      <w:pPr>
        <w:pStyle w:val="ListParagraph"/>
        <w:numPr>
          <w:ilvl w:val="0"/>
          <w:numId w:val="3"/>
        </w:numPr>
        <w:spacing w:after="80"/>
      </w:pPr>
      <w:r>
        <w:t>Tek kao krajnja instanca uskaču država i općine</w:t>
      </w:r>
    </w:p>
    <w:p w14:paraId="07542FD7" w14:textId="77777777" w:rsidR="00B1417B" w:rsidRDefault="00B1417B" w:rsidP="00D95DAC">
      <w:pPr>
        <w:spacing w:after="160" w:line="320" w:lineRule="auto"/>
        <w:ind w:left="720"/>
        <w:jc w:val="both"/>
      </w:pPr>
    </w:p>
    <w:p w14:paraId="43BC101D" w14:textId="365ECF5B" w:rsidR="006D3689" w:rsidRDefault="00000000" w:rsidP="00D95DAC">
      <w:pPr>
        <w:spacing w:after="160" w:line="320" w:lineRule="auto"/>
        <w:ind w:left="720"/>
        <w:jc w:val="both"/>
      </w:pPr>
      <w:r>
        <w:t>Posljednja razina nikad nije bila aktivirana. Zahvaljujući toj strukturi, WSW ima najviši kreditni rejting (AAA), a corporaties se zadužuju po prosječnoj kamati o</w:t>
      </w:r>
      <w:r w:rsidR="00B11F92">
        <w:t>ko</w:t>
      </w:r>
      <w:r>
        <w:t xml:space="preserve"> </w:t>
      </w:r>
      <w:r w:rsidR="00B11F92">
        <w:rPr>
          <w:b/>
          <w:bCs/>
        </w:rPr>
        <w:t>3</w:t>
      </w:r>
      <w:r>
        <w:rPr>
          <w:b/>
          <w:bCs/>
        </w:rPr>
        <w:t>%</w:t>
      </w:r>
      <w:r>
        <w:t xml:space="preserve"> s rokovima otplate do </w:t>
      </w:r>
      <w:r>
        <w:rPr>
          <w:b/>
          <w:bCs/>
        </w:rPr>
        <w:t>40-50 godina</w:t>
      </w:r>
      <w:r>
        <w:t>.</w:t>
      </w:r>
    </w:p>
    <w:p w14:paraId="20C30D8A" w14:textId="77777777" w:rsidR="006D3689" w:rsidRDefault="00000000" w:rsidP="00D95DAC">
      <w:pPr>
        <w:pStyle w:val="ListParagraph"/>
        <w:numPr>
          <w:ilvl w:val="0"/>
          <w:numId w:val="7"/>
        </w:numPr>
        <w:spacing w:after="160" w:line="320" w:lineRule="auto"/>
        <w:jc w:val="both"/>
      </w:pPr>
      <w:r>
        <w:t>corporaties koriste vrijednost cijelog portfelja kao osnovu za procjenu kreditne sposobnosti, a ne pojedinačni projekt. To im daje znatno veću fleksibilnost od privatnih developera koji moraju opravdati svaki projekt zasebno.</w:t>
      </w:r>
    </w:p>
    <w:p w14:paraId="75EB3B46" w14:textId="77777777" w:rsidR="006D3689" w:rsidRDefault="00000000">
      <w:pPr>
        <w:pStyle w:val="Heading2"/>
      </w:pPr>
      <w:r>
        <w:t xml:space="preserve">Gdje su granice ovog </w:t>
      </w:r>
      <w:r>
        <w:rPr>
          <w:rFonts w:eastAsiaTheme="minorHAnsi" w:cstheme="minorBidi"/>
          <w:szCs w:val="30"/>
          <w:lang w:val="hr-HR" w:eastAsia="en-US"/>
        </w:rPr>
        <w:t>modela?</w:t>
      </w:r>
    </w:p>
    <w:p w14:paraId="5C4DEBF5" w14:textId="60FA85DB" w:rsidR="006D3689" w:rsidRDefault="00000000">
      <w:pPr>
        <w:spacing w:after="160" w:line="320" w:lineRule="auto"/>
        <w:jc w:val="both"/>
      </w:pPr>
      <w:r>
        <w:t xml:space="preserve">Mehanizam ovisi o pretpostavkama koje ne vrijede uvijek. Tri </w:t>
      </w:r>
      <w:r w:rsidR="00B11F92">
        <w:t>pretpostavke ističe</w:t>
      </w:r>
      <w:r>
        <w:t xml:space="preserve"> s</w:t>
      </w:r>
      <w:r w:rsidR="00B11F92">
        <w:t>e posebno</w:t>
      </w:r>
      <w:r>
        <w:t>:</w:t>
      </w:r>
    </w:p>
    <w:p w14:paraId="3461F5B0" w14:textId="77777777" w:rsidR="006D3689" w:rsidRDefault="00000000">
      <w:pPr>
        <w:pStyle w:val="ListParagraph"/>
        <w:numPr>
          <w:ilvl w:val="0"/>
          <w:numId w:val="2"/>
        </w:numPr>
        <w:spacing w:after="80" w:line="300" w:lineRule="auto"/>
      </w:pPr>
      <w:r>
        <w:rPr>
          <w:b/>
          <w:bCs/>
        </w:rPr>
        <w:t>Niske kamatne stope</w:t>
      </w:r>
      <w:r>
        <w:t>: Sustav je 30 godina funkcionirao u okruženju padajućih ili niskih kamata. Kad kamate rastu, dinamika se obrće.</w:t>
      </w:r>
    </w:p>
    <w:p w14:paraId="2D1B390E" w14:textId="77777777" w:rsidR="006D3689" w:rsidRDefault="00000000">
      <w:pPr>
        <w:pStyle w:val="ListParagraph"/>
        <w:numPr>
          <w:ilvl w:val="0"/>
          <w:numId w:val="2"/>
        </w:numPr>
        <w:spacing w:after="80" w:line="300" w:lineRule="auto"/>
      </w:pPr>
      <w:r>
        <w:rPr>
          <w:b/>
          <w:bCs/>
        </w:rPr>
        <w:t>Razmjeran rast troškova i najamnina</w:t>
      </w:r>
      <w:r>
        <w:t>: Posljednjih godina ta veza je puknula, gradnja je poskupjela brže nego što je politika dopuštala rast najamnina.</w:t>
      </w:r>
    </w:p>
    <w:p w14:paraId="086898F1" w14:textId="77777777" w:rsidR="006D3689" w:rsidRDefault="00000000">
      <w:pPr>
        <w:pStyle w:val="ListParagraph"/>
        <w:numPr>
          <w:ilvl w:val="0"/>
          <w:numId w:val="2"/>
        </w:numPr>
        <w:spacing w:after="80" w:line="300" w:lineRule="auto"/>
      </w:pPr>
      <w:r>
        <w:rPr>
          <w:b/>
          <w:bCs/>
        </w:rPr>
        <w:t>Vremenska raspodjela velikih troškova</w:t>
      </w:r>
      <w:r>
        <w:t>: Trenutno se poklapaju energetska tranzicija, obnova starijeg fonda, i potreba za masivnom novogradnjom.</w:t>
      </w:r>
    </w:p>
    <w:p w14:paraId="2FC01AA3" w14:textId="77777777" w:rsidR="006D3689" w:rsidRDefault="00000000">
      <w:pPr>
        <w:pStyle w:val="Heading1"/>
      </w:pPr>
      <w:r>
        <w:t>Evolucija položaja sustava</w:t>
      </w:r>
    </w:p>
    <w:p w14:paraId="77CAA4D2" w14:textId="77777777" w:rsidR="00EB7DF2" w:rsidRDefault="00000000">
      <w:pPr>
        <w:spacing w:after="160" w:line="320" w:lineRule="auto"/>
        <w:jc w:val="both"/>
      </w:pPr>
      <w:r>
        <w:t>Sektor je posljednjih desetljeća prošao kroz dvije paralelne promjene koje se na prvi pogled čine kontradiktornima. S jedne strane, broj organizacija je dramatično pao: s preko 800 u 1995. na 269 u 2025., uz gotovo nepromijenjen ukupni fond od oko 2,3 milijuna stanova.</w:t>
      </w:r>
    </w:p>
    <w:p w14:paraId="342202AD" w14:textId="488C3607" w:rsidR="00EB7DF2" w:rsidRDefault="00000000">
      <w:pPr>
        <w:spacing w:after="160" w:line="320" w:lineRule="auto"/>
        <w:jc w:val="both"/>
      </w:pPr>
      <w:r>
        <w:t>Razlog leži u kumulativnom rastu regulatornih i operativnih zahtjeva. Reforma Woningweta iz 2015., specijalizirana ekspertiza potrebna za energetsku tranziciju, i sve formalniji odnosi s općinama učinili su male corporatie</w:t>
      </w:r>
      <w:r w:rsidR="00FF6679">
        <w:t>s</w:t>
      </w:r>
      <w:r>
        <w:t xml:space="preserve"> operativno neodrživima. Sustav koji je nastao iz organskih, decentraliziranih inicijativa 19. stoljeća danas zahtijeva da budete veliki, etablirani i kapitalizirani prije nego što uopće možete krenuti.</w:t>
      </w:r>
    </w:p>
    <w:p w14:paraId="17CD8064" w14:textId="77777777" w:rsidR="00EB7DF2" w:rsidRDefault="00000000">
      <w:pPr>
        <w:pStyle w:val="Heading2"/>
      </w:pPr>
      <w:r>
        <w:t>Paradoks „bogatog“ sektora</w:t>
      </w:r>
    </w:p>
    <w:p w14:paraId="41C33220" w14:textId="6AEFB301" w:rsidR="00EB7DF2" w:rsidRDefault="00000000">
      <w:pPr>
        <w:spacing w:after="160" w:line="320" w:lineRule="auto"/>
        <w:jc w:val="both"/>
      </w:pPr>
      <w:r>
        <w:lastRenderedPageBreak/>
        <w:t xml:space="preserve">S druge strane, vrijednost sektora prema WOZ-procjeni narasla je zajedno s tržišnim cijenama i danas iznosi preko 100 milijardi eura. No ta papirnata vrijednost ne generira </w:t>
      </w:r>
      <w:r w:rsidR="004C2AED">
        <w:t xml:space="preserve">veći </w:t>
      </w:r>
      <w:r>
        <w:t>novčani tok: stanovi se ne mogu slobodno prodavati po tržišnoj cijeni jer je njihova prodaja strogo regulirana, a najamnine su zakonski ograničene. Istovremeno, isti tržišni rast čini novu gradnju razmjerno skupljom. Sektor tako istovremeno postaje papirnato bogatiji i operativno skučeniji.</w:t>
      </w:r>
    </w:p>
    <w:p w14:paraId="1D98FE3B" w14:textId="77777777" w:rsidR="00EB7DF2" w:rsidRDefault="00000000">
      <w:pPr>
        <w:pStyle w:val="Heading2"/>
      </w:pPr>
      <w:r>
        <w:t>Verhuurderheffing: kad se „bogati“ sektor iskoristi</w:t>
      </w:r>
    </w:p>
    <w:p w14:paraId="5C4C5DB5" w14:textId="3634B02E" w:rsidR="0063162B" w:rsidRDefault="0063162B" w:rsidP="0063162B">
      <w:pPr>
        <w:spacing w:after="160" w:line="320" w:lineRule="auto"/>
        <w:jc w:val="both"/>
      </w:pPr>
      <w:r>
        <w:t>Nakon financijske krize 2008., kabinet Rutte II uveo je 2013. verhuurderheffing - porez na najmodavce s više od 50 socijalnih stanova. Do ukidanja 2023. sektor je uplatio preko 13,8 milijardi eura, uz procijenjeni gubitak od oko 100.000 stanova koje corporaties nisu mogle izgraditi. Profesor Johan Conijn zaključio je da je heffing ponajprije bio namijenjen krpanju rupa u državnom proračunu, dok su woningcorporaties snosile troškove.</w:t>
      </w:r>
    </w:p>
    <w:p w14:paraId="10804C14" w14:textId="445A3AC0" w:rsidR="0063162B" w:rsidRDefault="0063162B" w:rsidP="0063162B">
      <w:pPr>
        <w:spacing w:after="160" w:line="320" w:lineRule="auto"/>
        <w:jc w:val="both"/>
      </w:pPr>
      <w:r w:rsidRPr="0063162B">
        <w:t>Kao posljedica, novogradnja se prepolovila, najamnine su rasle kako bi stanari efektivno financirali porez namijenjen najmodavcima, a kroz sustav subvencija za najamnine (huurtoeslag) stvorio se paradoks - što su najamnine više rasle, rasla je i potražnja za subvencijama, što je vlada kompenzirala daljnjim povećanjem heffinga.</w:t>
      </w:r>
      <w:r>
        <w:t xml:space="preserve"> Porez je ukinut 2023., nakon što je vladino izvješće Opgaven en Middelen iz 2020. potvrdilo da financijska sredstva sektora nisu dostatna za ispunjavanje obveza koje mu država postavlja.</w:t>
      </w:r>
    </w:p>
    <w:p w14:paraId="14435827" w14:textId="77777777" w:rsidR="006D3689" w:rsidRDefault="00000000">
      <w:pPr>
        <w:pStyle w:val="Heading1"/>
      </w:pPr>
      <w:r>
        <w:t>Što sustav radi dobro?</w:t>
      </w:r>
    </w:p>
    <w:p w14:paraId="76999BEB" w14:textId="77777777" w:rsidR="006D3689" w:rsidRDefault="00000000">
      <w:pPr>
        <w:spacing w:after="160" w:line="320" w:lineRule="auto"/>
        <w:jc w:val="both"/>
      </w:pPr>
      <w:r>
        <w:t>Rasprava o izazovima ne smije zamagliti činjenicu da woningcorporaties svakodnevno pružaju stanovanje za otprilike četiri milijuna ljudi. Četiri ključna postignuća:</w:t>
      </w:r>
    </w:p>
    <w:p w14:paraId="7DFF78B5" w14:textId="77777777" w:rsidR="006D3689" w:rsidRDefault="00000000">
      <w:pPr>
        <w:spacing w:after="160" w:line="320" w:lineRule="auto"/>
        <w:jc w:val="both"/>
      </w:pPr>
      <w:r>
        <w:rPr>
          <w:b/>
          <w:bCs/>
        </w:rPr>
        <w:t xml:space="preserve">Stabilnost cijena za stanare. </w:t>
      </w:r>
      <w:r>
        <w:t>Dok su najamnine u slobodnom sektoru u Amsterdamu, Utrechtu i Haagu rasle po stopama koje premašuju inflaciju, stanari u socijalnom sektoru bili su zaštićeni reguliranim gornjim granicama.</w:t>
      </w:r>
    </w:p>
    <w:p w14:paraId="4CC6BF00" w14:textId="77777777" w:rsidR="006D3689" w:rsidRDefault="00000000">
      <w:pPr>
        <w:spacing w:after="160" w:line="320" w:lineRule="auto"/>
        <w:jc w:val="both"/>
      </w:pPr>
      <w:r>
        <w:rPr>
          <w:b/>
          <w:bCs/>
        </w:rPr>
        <w:t xml:space="preserve">Otpornost na špekulativne cikluse. </w:t>
      </w:r>
      <w:r>
        <w:t>Stanovi corporaties izuzeti su iz tržišne dinamike kupoprodaje. Tijekom krize 2008. socijalni sektor ostao je stabilan, što djeluje i kao amortizer za šire tržište.</w:t>
      </w:r>
    </w:p>
    <w:p w14:paraId="7F9A3797" w14:textId="77777777" w:rsidR="006D3689" w:rsidRDefault="00000000">
      <w:pPr>
        <w:spacing w:after="160" w:line="320" w:lineRule="auto"/>
        <w:jc w:val="both"/>
      </w:pPr>
      <w:r>
        <w:rPr>
          <w:b/>
          <w:bCs/>
        </w:rPr>
        <w:t xml:space="preserve">Kvaliteta i održivost fonda. </w:t>
      </w:r>
      <w:r>
        <w:t>Corporaties su u 2024. investirale 12,1 milijardu eura u održavanje, poboljšanje i energetsku obnovu, rast od 15,2% u odnosu na prethodnu godinu. Energetska tranzicija je daleko odmakla, samo 5,5% fonda još ima niske energetske oznake.</w:t>
      </w:r>
    </w:p>
    <w:p w14:paraId="5A539ED4" w14:textId="77777777" w:rsidR="006D3689" w:rsidRDefault="00000000">
      <w:pPr>
        <w:spacing w:after="160" w:line="320" w:lineRule="auto"/>
        <w:jc w:val="both"/>
      </w:pPr>
      <w:r>
        <w:rPr>
          <w:b/>
          <w:bCs/>
        </w:rPr>
        <w:t xml:space="preserve">Socijalna struktura bez stigme. </w:t>
      </w:r>
      <w:r>
        <w:t>Za razliku od SAD-a ili Velike Britanije, gdje je socijalno stanovanje često stigmatizirano, u Nizozemskoj život u socijalnom stanu ne nosi negativnu konotaciju. Sustav je povijesno bio otvoren širokom rasponu kućanstava, što je pridonijelo stvaranju mješovitih zajednica.</w:t>
      </w:r>
    </w:p>
    <w:p w14:paraId="55011856" w14:textId="77777777" w:rsidR="006D3689" w:rsidRDefault="00000000">
      <w:pPr>
        <w:pStyle w:val="Heading1"/>
      </w:pPr>
      <w:r>
        <w:t>Što o učincima na primatelje kaže ekonomska literatura?</w:t>
      </w:r>
    </w:p>
    <w:p w14:paraId="260F759C" w14:textId="77777777" w:rsidR="00EB7DF2" w:rsidRDefault="00000000">
      <w:pPr>
        <w:spacing w:after="160" w:line="320" w:lineRule="auto"/>
        <w:jc w:val="both"/>
      </w:pPr>
      <w:r>
        <w:lastRenderedPageBreak/>
        <w:t>Rasprava o institucionalnim prednostima ne smije zamagliti nalaze empirijske ekonomske literature o učincima stambene pomoći na same primatelje. Ti nalazi su uglavnom neutralni do blago negativni.</w:t>
      </w:r>
    </w:p>
    <w:p w14:paraId="7456BC44" w14:textId="565BC8BC" w:rsidR="001D2434" w:rsidRDefault="001D2434">
      <w:pPr>
        <w:spacing w:after="160" w:line="320" w:lineRule="auto"/>
        <w:jc w:val="both"/>
      </w:pPr>
      <w:r w:rsidRPr="001D2434">
        <w:t>Van Dijk (2019.) iskoristila je amsterdamske stambene lutrije kao prirodni eksperiment za identifikaciju kauzalnog učinka dodjele socijalnog stana. Usporedbom dobitnika i gubitnika lutrije utvrdila je da dobitnici - oni koji su zaista dobili stan - imaju u prosjeku 2.</w:t>
      </w:r>
      <w:r w:rsidR="009A4959">
        <w:t>000</w:t>
      </w:r>
      <w:r w:rsidRPr="001D2434">
        <w:t xml:space="preserve"> </w:t>
      </w:r>
      <w:r w:rsidR="009A4959">
        <w:t>eura</w:t>
      </w:r>
      <w:r w:rsidRPr="001D2434">
        <w:t xml:space="preserve"> manji godišnji dohodak po odrasloj osobi i nešto nižu stopu zaposlenosti od onih koji su za isti stan bili u utrci, ali nisu dobili. Nalaz je konzistentan s američkim rezultatima Jacoba i Ludwiga (2012.) koji su pomoću loterije u Chicagu utvrdili smanjenje sudjelovanja u radnoj snazi od </w:t>
      </w:r>
      <w:r w:rsidR="009A4959">
        <w:t>4</w:t>
      </w:r>
      <w:r w:rsidRPr="001D2434">
        <w:t xml:space="preserve"> posto</w:t>
      </w:r>
      <w:r w:rsidR="00FF6679">
        <w:t>tna boda (6%)</w:t>
      </w:r>
      <w:r w:rsidRPr="001D2434">
        <w:t xml:space="preserve"> i tromjesečne zarade od 10</w:t>
      </w:r>
      <w:r w:rsidR="00FF6679">
        <w:t>%</w:t>
      </w:r>
      <w:r w:rsidRPr="001D2434">
        <w:t xml:space="preserve"> među primateljima stambenih vaučera. Pozitivni učinci pojavljuju se samo kad se stan dodijeli u bogatijem susjedstvu, što u praksi rijetko biva slučaj jer se nova gradnja dominantno odvija u već gušćim ili marginalnim zonama.</w:t>
      </w:r>
    </w:p>
    <w:p w14:paraId="3B581E6E" w14:textId="77777777" w:rsidR="00EB7DF2" w:rsidRDefault="00000000">
      <w:pPr>
        <w:pStyle w:val="Heading1"/>
      </w:pPr>
      <w:r>
        <w:t>Što sustav ne pokriva?</w:t>
      </w:r>
    </w:p>
    <w:p w14:paraId="3E943B6D" w14:textId="77777777" w:rsidR="006D3689" w:rsidRDefault="00000000">
      <w:pPr>
        <w:spacing w:after="160" w:line="320" w:lineRule="auto"/>
        <w:jc w:val="both"/>
      </w:pPr>
      <w:r>
        <w:t>Najveće slabe točke nisu unutar sustava, nego oko njega.</w:t>
      </w:r>
    </w:p>
    <w:p w14:paraId="57B899CA" w14:textId="77777777" w:rsidR="006D3689" w:rsidRDefault="00000000">
      <w:pPr>
        <w:spacing w:after="160" w:line="320" w:lineRule="auto"/>
        <w:jc w:val="both"/>
      </w:pPr>
      <w:r>
        <w:rPr>
          <w:b/>
          <w:bCs/>
        </w:rPr>
        <w:t>Liste čekanja za socijalni stan u Amsterdamu premašuju 10 godina.</w:t>
      </w:r>
      <w:r>
        <w:t xml:space="preserve"> Za mnoge mlade ljude i nove generacije, sustav je formalno otvoren ali praktički nedostupan. Kad konačno dođu na red, već su prešli životnu fazu u kojoj im je takav stan najpotrebniji.</w:t>
      </w:r>
    </w:p>
    <w:p w14:paraId="5FF0C860" w14:textId="77777777" w:rsidR="006D3689" w:rsidRDefault="00000000">
      <w:pPr>
        <w:spacing w:after="160" w:line="320" w:lineRule="auto"/>
        <w:jc w:val="both"/>
      </w:pPr>
      <w:r>
        <w:rPr>
          <w:b/>
          <w:bCs/>
        </w:rPr>
        <w:t xml:space="preserve">Srednja klasa u procjepu. </w:t>
      </w:r>
      <w:r>
        <w:t>Tko zarađuje previše za socijalni stan, a premalo za slobodno tržište, dugo nije imao gdje. Tek je 2024. uveden treći regulirani segment (</w:t>
      </w:r>
      <w:r>
        <w:rPr>
          <w:i/>
          <w:iCs/>
        </w:rPr>
        <w:t>middenhuur</w:t>
      </w:r>
      <w:r>
        <w:t>), namijenjen upravo toj skupini, ali njegovi učinci tek se trebaju vidjeti.</w:t>
      </w:r>
    </w:p>
    <w:p w14:paraId="3343FD97" w14:textId="1CADE5F6" w:rsidR="006D3689" w:rsidRDefault="00000000">
      <w:pPr>
        <w:spacing w:after="160" w:line="320" w:lineRule="auto"/>
        <w:jc w:val="both"/>
      </w:pPr>
      <w:r w:rsidRPr="00B11F92">
        <w:rPr>
          <w:b/>
          <w:bCs/>
        </w:rPr>
        <w:t xml:space="preserve">Privatni </w:t>
      </w:r>
      <w:r w:rsidR="001D2434" w:rsidRPr="00B11F92">
        <w:rPr>
          <w:b/>
          <w:bCs/>
        </w:rPr>
        <w:t xml:space="preserve">sektor </w:t>
      </w:r>
      <w:r w:rsidRPr="00B11F92">
        <w:rPr>
          <w:b/>
          <w:bCs/>
        </w:rPr>
        <w:t>najm</w:t>
      </w:r>
      <w:r w:rsidR="001D2434" w:rsidRPr="00B11F92">
        <w:rPr>
          <w:b/>
          <w:bCs/>
        </w:rPr>
        <w:t>a</w:t>
      </w:r>
      <w:r w:rsidRPr="00B11F92">
        <w:rPr>
          <w:b/>
          <w:bCs/>
        </w:rPr>
        <w:t xml:space="preserve"> je marginaliziran.</w:t>
      </w:r>
      <w:r w:rsidR="00B11F92">
        <w:rPr>
          <w:b/>
          <w:bCs/>
        </w:rPr>
        <w:t xml:space="preserve"> </w:t>
      </w:r>
      <w:r w:rsidR="007834BB">
        <w:t>R</w:t>
      </w:r>
      <w:r>
        <w:t xml:space="preserve">egulirano tržište </w:t>
      </w:r>
      <w:r w:rsidR="007834BB">
        <w:t xml:space="preserve">i </w:t>
      </w:r>
      <w:r w:rsidR="007834BB" w:rsidRPr="007834BB">
        <w:rPr>
          <w:lang w:val="hr-HR"/>
        </w:rPr>
        <w:t>dodana</w:t>
      </w:r>
      <w:r w:rsidR="007834BB">
        <w:rPr>
          <w:lang w:val="hr-HR"/>
        </w:rPr>
        <w:t xml:space="preserve"> porezna opterećenja </w:t>
      </w:r>
      <w:r w:rsidRPr="007834BB">
        <w:rPr>
          <w:lang w:val="hr-HR"/>
        </w:rPr>
        <w:t>obeshrabruj</w:t>
      </w:r>
      <w:r w:rsidR="007834BB">
        <w:rPr>
          <w:lang w:val="hr-HR"/>
        </w:rPr>
        <w:t>u</w:t>
      </w:r>
      <w:r>
        <w:t xml:space="preserve"> privatna ulaganja u najamno stanovanje, što ostavlja sve veću potražnju koncentriranu na sve manju ponudu izvan socijalnog sektora.</w:t>
      </w:r>
    </w:p>
    <w:p w14:paraId="52646737" w14:textId="77777777" w:rsidR="006D3689" w:rsidRDefault="00000000">
      <w:pPr>
        <w:pStyle w:val="Heading1"/>
      </w:pPr>
      <w:r>
        <w:t>Što je zajedničko corporatiama i privatnim investitorima?</w:t>
      </w:r>
    </w:p>
    <w:p w14:paraId="70D88F41" w14:textId="77777777" w:rsidR="006D3689" w:rsidRDefault="00000000">
      <w:pPr>
        <w:spacing w:after="160" w:line="320" w:lineRule="auto"/>
        <w:jc w:val="both"/>
      </w:pPr>
      <w:r>
        <w:t>Često se izazovi corporaties prikazuju kao specifični za „javnu" stranu sektora - birokracija, regulacija, sporo donošenje odluka. U stvarnosti, velik dio izazova je sistemski i pogađa sve dionike podjednako:</w:t>
      </w:r>
    </w:p>
    <w:p w14:paraId="3EFCAE7E" w14:textId="77777777" w:rsidR="006D3689" w:rsidRDefault="00000000">
      <w:pPr>
        <w:pStyle w:val="ListParagraph"/>
        <w:numPr>
          <w:ilvl w:val="0"/>
          <w:numId w:val="2"/>
        </w:numPr>
        <w:spacing w:after="80" w:line="300" w:lineRule="auto"/>
      </w:pPr>
      <w:r>
        <w:t>Nedostatak dostupnog građevinskog zemljišta</w:t>
      </w:r>
    </w:p>
    <w:p w14:paraId="7EBEF79A" w14:textId="77777777" w:rsidR="006D3689" w:rsidRDefault="00000000">
      <w:pPr>
        <w:pStyle w:val="ListParagraph"/>
        <w:numPr>
          <w:ilvl w:val="0"/>
          <w:numId w:val="2"/>
        </w:numPr>
        <w:spacing w:after="80" w:line="300" w:lineRule="auto"/>
      </w:pPr>
      <w:r>
        <w:t>Rast troškova gradnje i materijala</w:t>
      </w:r>
    </w:p>
    <w:p w14:paraId="7F2DDB5B" w14:textId="77777777" w:rsidR="006D3689" w:rsidRDefault="00000000">
      <w:pPr>
        <w:pStyle w:val="ListParagraph"/>
        <w:numPr>
          <w:ilvl w:val="0"/>
          <w:numId w:val="2"/>
        </w:numPr>
        <w:spacing w:after="80" w:line="300" w:lineRule="auto"/>
      </w:pPr>
      <w:r>
        <w:t>Manjak radne snage u građevini</w:t>
      </w:r>
    </w:p>
    <w:p w14:paraId="1D454166" w14:textId="77777777" w:rsidR="006D3689" w:rsidRDefault="00000000">
      <w:pPr>
        <w:pStyle w:val="ListParagraph"/>
        <w:numPr>
          <w:ilvl w:val="0"/>
          <w:numId w:val="2"/>
        </w:numPr>
        <w:spacing w:after="80" w:line="300" w:lineRule="auto"/>
      </w:pPr>
      <w:r>
        <w:t>Sporost izdavanja dozvola</w:t>
      </w:r>
    </w:p>
    <w:p w14:paraId="04EAABF7" w14:textId="77777777" w:rsidR="006D3689" w:rsidRDefault="00000000">
      <w:pPr>
        <w:pStyle w:val="ListParagraph"/>
        <w:numPr>
          <w:ilvl w:val="0"/>
          <w:numId w:val="2"/>
        </w:numPr>
        <w:spacing w:after="80" w:line="300" w:lineRule="auto"/>
      </w:pPr>
      <w:r>
        <w:t>Zahtjevi energetske tranzicije</w:t>
      </w:r>
    </w:p>
    <w:p w14:paraId="39D3E844" w14:textId="77777777" w:rsidR="006D3689" w:rsidRDefault="00000000" w:rsidP="00B1417B">
      <w:pPr>
        <w:pStyle w:val="ListParagraph"/>
        <w:numPr>
          <w:ilvl w:val="0"/>
          <w:numId w:val="2"/>
        </w:numPr>
        <w:spacing w:after="80" w:line="300" w:lineRule="auto"/>
      </w:pPr>
      <w:r>
        <w:t>Rast kamatnih stopa</w:t>
      </w:r>
    </w:p>
    <w:p w14:paraId="118241C3" w14:textId="77777777" w:rsidR="006D3689" w:rsidRDefault="00000000">
      <w:pPr>
        <w:pStyle w:val="Heading1"/>
      </w:pPr>
      <w:r>
        <w:lastRenderedPageBreak/>
        <w:t>Pa, bi li država trebala plaćati?</w:t>
      </w:r>
    </w:p>
    <w:p w14:paraId="4D218D23" w14:textId="77777777" w:rsidR="006D3689" w:rsidRDefault="00000000">
      <w:pPr>
        <w:spacing w:after="160" w:line="320" w:lineRule="auto"/>
        <w:jc w:val="both"/>
      </w:pPr>
      <w:r>
        <w:t>Vrijedi kratko usporediti s ostalim sustavima koji se često citiraju:</w:t>
      </w:r>
    </w:p>
    <w:p w14:paraId="1B305381" w14:textId="77777777" w:rsidR="006D3689" w:rsidRDefault="00000000">
      <w:pPr>
        <w:pStyle w:val="ListParagraph"/>
        <w:numPr>
          <w:ilvl w:val="0"/>
          <w:numId w:val="2"/>
        </w:numPr>
        <w:spacing w:after="80" w:line="300" w:lineRule="auto"/>
      </w:pPr>
      <w:r>
        <w:rPr>
          <w:b/>
          <w:bCs/>
        </w:rPr>
        <w:t>Beč</w:t>
      </w:r>
      <w:r>
        <w:t>: Austrija troši oko 0,25% BDP-a godišnje na socijalno stanovanje, financirano porezom od 1% na plaće. Bečki Gemeindewohnungen prema istraživanjima imaju ozbiljan problem likvidnosti, s procijenjenim manjkom od 827 milijuna eura u 2016.</w:t>
      </w:r>
    </w:p>
    <w:p w14:paraId="280042E6" w14:textId="77777777" w:rsidR="006D3689" w:rsidRDefault="00000000">
      <w:pPr>
        <w:pStyle w:val="ListParagraph"/>
        <w:numPr>
          <w:ilvl w:val="0"/>
          <w:numId w:val="2"/>
        </w:numPr>
        <w:spacing w:after="80" w:line="300" w:lineRule="auto"/>
      </w:pPr>
      <w:r>
        <w:rPr>
          <w:b/>
          <w:bCs/>
        </w:rPr>
        <w:t>Singapur</w:t>
      </w:r>
      <w:r>
        <w:t>: Sustav radi jer država posjeduje 90% zemljišta i može ga otkupiti po niskim cijenama, uz to kontrolira hipoteke i razvoj.</w:t>
      </w:r>
    </w:p>
    <w:p w14:paraId="539FE8A5" w14:textId="72BC6655" w:rsidR="006D3689" w:rsidRDefault="00000000">
      <w:pPr>
        <w:spacing w:after="160" w:line="320" w:lineRule="auto"/>
        <w:jc w:val="both"/>
      </w:pPr>
      <w:r>
        <w:t xml:space="preserve">Poanta nije da svi sustavi imaju probleme. Poanta je da </w:t>
      </w:r>
      <w:r>
        <w:rPr>
          <w:b/>
          <w:bCs/>
        </w:rPr>
        <w:t>svaki uspješan sustav ima neki oblik trajnog javnog ulaganja, vidljivog ili nevidljivog</w:t>
      </w:r>
      <w:r w:rsidR="004C2AED">
        <w:t>.</w:t>
      </w:r>
    </w:p>
    <w:p w14:paraId="38ACE539" w14:textId="1A30C13F" w:rsidR="006D3689" w:rsidRDefault="00000000">
      <w:pPr>
        <w:spacing w:after="160" w:line="320" w:lineRule="auto"/>
        <w:jc w:val="both"/>
      </w:pPr>
      <w:r>
        <w:t xml:space="preserve">Nizozemski sustav nije uspio zato što je netko otkrio formulu za povoljno stanovanje. Uspio je jer je </w:t>
      </w:r>
      <w:r w:rsidR="001D72A9">
        <w:t xml:space="preserve">privatna inicijativa razvila temelje, te su vlasti </w:t>
      </w:r>
      <w:r>
        <w:t>dugoro</w:t>
      </w:r>
      <w:r w:rsidR="001D72A9">
        <w:t xml:space="preserve">čno </w:t>
      </w:r>
      <w:r w:rsidR="004C7B23">
        <w:t>gledale na</w:t>
      </w:r>
      <w:r>
        <w:t xml:space="preserve"> stanovanje</w:t>
      </w:r>
      <w:r w:rsidR="004C7B23">
        <w:t xml:space="preserve"> kao </w:t>
      </w:r>
      <w:r>
        <w:t xml:space="preserve">vrijedno trajnog javnog ulaganja, i </w:t>
      </w:r>
      <w:r w:rsidR="001D72A9">
        <w:t xml:space="preserve">nizozemsko društvo </w:t>
      </w:r>
      <w:r>
        <w:t xml:space="preserve">bilo je dovoljno strpljivo da tu odluku provede </w:t>
      </w:r>
      <w:r w:rsidR="004C2AED">
        <w:t>kroz</w:t>
      </w:r>
      <w:r>
        <w:t xml:space="preserve"> više generacija.</w:t>
      </w:r>
    </w:p>
    <w:p w14:paraId="5BE28908" w14:textId="277CD56C" w:rsidR="006D3689" w:rsidRDefault="00000000">
      <w:pPr>
        <w:spacing w:after="160" w:line="320" w:lineRule="auto"/>
        <w:jc w:val="both"/>
      </w:pPr>
      <w:r>
        <w:t xml:space="preserve">To što sustav danas djeluje kao da „ne košta" je rezultat stoljeća ulaganja koja su jednom financijskom operacijom (brutering 1995.) pretvorena u trajni kapital. Ali </w:t>
      </w:r>
      <w:r w:rsidR="004C2AED">
        <w:t>ovisnost o</w:t>
      </w:r>
      <w:r>
        <w:t xml:space="preserve"> javno</w:t>
      </w:r>
      <w:r w:rsidR="004C2AED">
        <w:t>m</w:t>
      </w:r>
      <w:r>
        <w:t xml:space="preserve"> ulaganj</w:t>
      </w:r>
      <w:r w:rsidR="004C2AED">
        <w:t>u</w:t>
      </w:r>
      <w:r>
        <w:t xml:space="preserve"> </w:t>
      </w:r>
      <w:r w:rsidR="004C2AED">
        <w:t>je</w:t>
      </w:r>
      <w:r>
        <w:t xml:space="preserve"> ujedno i njegova slabost, jer postaje politički zaboravljen, podliježe oporezivanju, i ne može se jednostavno obnoviti u slučaju </w:t>
      </w:r>
      <w:r w:rsidR="004C2AED">
        <w:t>značajno oslabljenog sektora</w:t>
      </w:r>
      <w:r>
        <w:t>.</w:t>
      </w:r>
    </w:p>
    <w:p w14:paraId="1CAFE322" w14:textId="523E53E3" w:rsidR="006D3689" w:rsidRPr="00B1417B" w:rsidRDefault="00000000">
      <w:pPr>
        <w:spacing w:after="160" w:line="320" w:lineRule="auto"/>
        <w:jc w:val="both"/>
      </w:pPr>
      <w:r>
        <w:t>Pravo pitanje za svako društvo</w:t>
      </w:r>
      <w:r w:rsidR="004C2AED">
        <w:t xml:space="preserve"> jest</w:t>
      </w:r>
      <w:r>
        <w:t xml:space="preserve"> </w:t>
      </w:r>
      <w:r w:rsidRPr="00B11F92">
        <w:rPr>
          <w:b/>
          <w:bCs/>
        </w:rPr>
        <w:t xml:space="preserve">koliko </w:t>
      </w:r>
      <w:r w:rsidR="004C2AED" w:rsidRPr="00B11F92">
        <w:rPr>
          <w:b/>
          <w:bCs/>
        </w:rPr>
        <w:t>bi</w:t>
      </w:r>
      <w:r w:rsidRPr="00B11F92">
        <w:rPr>
          <w:b/>
          <w:bCs/>
        </w:rPr>
        <w:t>smo</w:t>
      </w:r>
      <w:r w:rsidR="004C2AED" w:rsidRPr="00B11F92">
        <w:rPr>
          <w:b/>
          <w:bCs/>
        </w:rPr>
        <w:t xml:space="preserve"> bili</w:t>
      </w:r>
      <w:r w:rsidRPr="00B11F92">
        <w:rPr>
          <w:b/>
          <w:bCs/>
        </w:rPr>
        <w:t xml:space="preserve"> spremni platiti za </w:t>
      </w:r>
      <w:r w:rsidR="001D72A9" w:rsidRPr="00B11F92">
        <w:rPr>
          <w:b/>
          <w:bCs/>
        </w:rPr>
        <w:t>razvoj takvog sustava</w:t>
      </w:r>
      <w:r w:rsidR="004C7B23">
        <w:t xml:space="preserve"> </w:t>
      </w:r>
      <w:r>
        <w:t>kao zajednica, i u kojem obliku:</w:t>
      </w:r>
    </w:p>
    <w:p w14:paraId="22A9400F" w14:textId="77777777" w:rsidR="006D3689" w:rsidRDefault="00000000">
      <w:pPr>
        <w:pStyle w:val="ListParagraph"/>
        <w:numPr>
          <w:ilvl w:val="0"/>
          <w:numId w:val="2"/>
        </w:numPr>
        <w:spacing w:after="80" w:line="300" w:lineRule="auto"/>
      </w:pPr>
      <w:r>
        <w:t>Kao izravne subvencije iz proračuna?</w:t>
      </w:r>
    </w:p>
    <w:p w14:paraId="520B3579" w14:textId="77777777" w:rsidR="006D3689" w:rsidRDefault="00000000">
      <w:pPr>
        <w:pStyle w:val="ListParagraph"/>
        <w:numPr>
          <w:ilvl w:val="0"/>
          <w:numId w:val="2"/>
        </w:numPr>
        <w:spacing w:after="80" w:line="300" w:lineRule="auto"/>
      </w:pPr>
      <w:r>
        <w:t>Kao jamstva za zajmove?</w:t>
      </w:r>
    </w:p>
    <w:p w14:paraId="130F3B60" w14:textId="77777777" w:rsidR="006D3689" w:rsidRDefault="00000000">
      <w:pPr>
        <w:pStyle w:val="ListParagraph"/>
        <w:numPr>
          <w:ilvl w:val="0"/>
          <w:numId w:val="2"/>
        </w:numPr>
        <w:spacing w:after="80" w:line="300" w:lineRule="auto"/>
      </w:pPr>
      <w:r>
        <w:t>Kao povlašteno zemljište?</w:t>
      </w:r>
    </w:p>
    <w:p w14:paraId="4A65923D" w14:textId="77777777" w:rsidR="006D3689" w:rsidRDefault="00000000">
      <w:pPr>
        <w:pStyle w:val="ListParagraph"/>
        <w:numPr>
          <w:ilvl w:val="0"/>
          <w:numId w:val="2"/>
        </w:numPr>
        <w:spacing w:after="80" w:line="300" w:lineRule="auto"/>
      </w:pPr>
      <w:r>
        <w:t>Kao porezne olakšice?</w:t>
      </w:r>
    </w:p>
    <w:p w14:paraId="35A80920" w14:textId="77777777" w:rsidR="006D3689" w:rsidRDefault="00000000">
      <w:pPr>
        <w:pStyle w:val="ListParagraph"/>
        <w:numPr>
          <w:ilvl w:val="0"/>
          <w:numId w:val="2"/>
        </w:numPr>
        <w:spacing w:after="80" w:line="300" w:lineRule="auto"/>
      </w:pPr>
      <w:r>
        <w:t>Kao regulaciju koja štiti stanare?</w:t>
      </w:r>
    </w:p>
    <w:p w14:paraId="0A72D7BC" w14:textId="77777777" w:rsidR="006D3689" w:rsidRDefault="00000000">
      <w:pPr>
        <w:spacing w:after="160" w:line="320" w:lineRule="auto"/>
        <w:jc w:val="both"/>
      </w:pPr>
      <w:r>
        <w:t xml:space="preserve">Nizozemski sustav koristi sve od navedenog. Razlika prema drugim zemljama nije u </w:t>
      </w:r>
      <w:r>
        <w:rPr>
          <w:i/>
          <w:iCs/>
        </w:rPr>
        <w:t>postojanju</w:t>
      </w:r>
      <w:r>
        <w:t xml:space="preserve"> javne odgovornosti, nego u njezinoj </w:t>
      </w:r>
      <w:r>
        <w:rPr>
          <w:i/>
          <w:iCs/>
        </w:rPr>
        <w:t>strukturi</w:t>
      </w:r>
      <w:r>
        <w:t xml:space="preserve"> i </w:t>
      </w:r>
      <w:r>
        <w:rPr>
          <w:i/>
          <w:iCs/>
        </w:rPr>
        <w:t>trajnosti</w:t>
      </w:r>
      <w:r>
        <w:t>.</w:t>
      </w:r>
    </w:p>
    <w:p w14:paraId="72CB093B" w14:textId="18191DBB" w:rsidR="006D3689" w:rsidRDefault="00000000">
      <w:pPr>
        <w:spacing w:after="160" w:line="320" w:lineRule="auto"/>
        <w:jc w:val="both"/>
      </w:pPr>
      <w:r>
        <w:t>To je možda najvažnija pouka. Bez dugoročne odluke da je stanovanje predmet zajedničke skrbi, nijedan institucionalni model ne može uspjeti, koliko god bio elegantno dizajniran. S takvom odlukom, modeli se mogu graditi i prilagođavati.</w:t>
      </w:r>
    </w:p>
    <w:p w14:paraId="722E16A4" w14:textId="77777777" w:rsidR="00364E6A" w:rsidRDefault="00000000">
      <w:pPr>
        <w:pStyle w:val="Heading1"/>
      </w:pPr>
      <w:r>
        <w:t>Izvori</w:t>
      </w:r>
    </w:p>
    <w:p w14:paraId="6D27754E" w14:textId="77777777" w:rsidR="00364E6A" w:rsidRDefault="00000000">
      <w:pPr>
        <w:spacing w:after="120" w:line="280" w:lineRule="auto"/>
        <w:ind w:left="425" w:hanging="425"/>
      </w:pPr>
      <w:r>
        <w:rPr>
          <w:b/>
        </w:rPr>
        <w:t xml:space="preserve">1. </w:t>
      </w:r>
      <w:r>
        <w:t>Joint Center for Housing Studies, Harvard, "The People's Housing: Woningcorporaties and the Dutch Social Housing System" (2023). https://www.jchs.harvard.edu/research-areas/working-papers/peoples-housing-woningcorporaties-and-dutch-social-housing-system</w:t>
      </w:r>
    </w:p>
    <w:p w14:paraId="1DCC288D" w14:textId="77777777" w:rsidR="00364E6A" w:rsidRDefault="00000000">
      <w:pPr>
        <w:spacing w:after="120" w:line="280" w:lineRule="auto"/>
        <w:ind w:left="425" w:hanging="425"/>
      </w:pPr>
      <w:r>
        <w:rPr>
          <w:b/>
        </w:rPr>
        <w:lastRenderedPageBreak/>
        <w:t xml:space="preserve">2. </w:t>
      </w:r>
      <w:r>
        <w:t>Aedes, "Aedes-benchmark 2025: belangrijkste resultaten" (studeni 2025). https://aedes.nl/aedes-benchmark/aedes-benchmark-2025-belangrijkste-resultaten</w:t>
      </w:r>
    </w:p>
    <w:p w14:paraId="3C3C5C66" w14:textId="77777777" w:rsidR="00364E6A" w:rsidRDefault="00000000">
      <w:pPr>
        <w:spacing w:after="120" w:line="280" w:lineRule="auto"/>
        <w:ind w:left="425" w:hanging="425"/>
      </w:pPr>
      <w:r>
        <w:rPr>
          <w:b/>
        </w:rPr>
        <w:t xml:space="preserve">3. </w:t>
      </w:r>
      <w:r>
        <w:t>OTB Research Institute, TU Delft, "A comparison of social housing in the Netherlands and England on characteristics and quality" (2004).</w:t>
      </w:r>
    </w:p>
    <w:p w14:paraId="72B19137" w14:textId="77777777" w:rsidR="00364E6A" w:rsidRDefault="00000000">
      <w:pPr>
        <w:spacing w:after="120" w:line="280" w:lineRule="auto"/>
        <w:ind w:left="425" w:hanging="425"/>
      </w:pPr>
      <w:r>
        <w:rPr>
          <w:b/>
        </w:rPr>
        <w:t xml:space="preserve">4. </w:t>
      </w:r>
      <w:r>
        <w:t>Follow the Money, "Corporaties bezitten 101 miljard euro en huurders worden steeds armer" (2022), na temelju podataka Autoriteit woningcorporaties. https://www.ftm.nl/artikelen/corporaties-maken-winst-huurders-worden-armer</w:t>
      </w:r>
    </w:p>
    <w:p w14:paraId="211CD4DB" w14:textId="77777777" w:rsidR="00364E6A" w:rsidRDefault="00000000">
      <w:pPr>
        <w:spacing w:after="120" w:line="280" w:lineRule="auto"/>
        <w:ind w:left="425" w:hanging="425"/>
      </w:pPr>
      <w:r>
        <w:rPr>
          <w:b/>
        </w:rPr>
        <w:t xml:space="preserve">5. </w:t>
      </w:r>
      <w:r>
        <w:t>Autoriteit woningcorporaties (Aw), "10 jaar fusies woningcorporaties" (siječanj 2026). https://www.ilent.nl/documenten/autoriteit-woningcorporaties/publicaties-cijfers-en-wetgeving/publicaties/10-jaar-fusies-woningcorporaties</w:t>
      </w:r>
    </w:p>
    <w:p w14:paraId="7D01D54F" w14:textId="649A6CAE" w:rsidR="00364E6A" w:rsidRDefault="00E81E3E" w:rsidP="00FF6679">
      <w:pPr>
        <w:spacing w:after="120" w:line="280" w:lineRule="auto"/>
        <w:ind w:left="425" w:hanging="425"/>
      </w:pPr>
      <w:r>
        <w:rPr>
          <w:b/>
        </w:rPr>
        <w:t xml:space="preserve">6. </w:t>
      </w:r>
      <w:r>
        <w:t>Volkshuisvesting Nederland, "Het functioneren van de lokale driehoek". https://svwn.h5mag.com/het_functioneren_van_de_lokale_driehoek/1_1_een_historisch_perspectief</w:t>
      </w:r>
    </w:p>
    <w:p w14:paraId="4A6128C4" w14:textId="53475ECA" w:rsidR="00364E6A" w:rsidRDefault="00E81E3E">
      <w:pPr>
        <w:spacing w:after="120" w:line="280" w:lineRule="auto"/>
        <w:ind w:left="425" w:hanging="425"/>
      </w:pPr>
      <w:r>
        <w:rPr>
          <w:b/>
        </w:rPr>
        <w:t>7</w:t>
      </w:r>
      <w:r w:rsidR="00104B09">
        <w:rPr>
          <w:b/>
        </w:rPr>
        <w:t xml:space="preserve">. </w:t>
      </w:r>
      <w:r w:rsidR="00104B09">
        <w:t>Tweede Kamer, Kamerstuk 33606 nr. 8, "Geschiedenis van de woningcorporaties". https://zoek.officielebekendmakingen.nl/kst-33606-8.html</w:t>
      </w:r>
    </w:p>
    <w:p w14:paraId="0C65C4CB" w14:textId="16D0E17C" w:rsidR="00364E6A" w:rsidRDefault="00E81E3E">
      <w:pPr>
        <w:spacing w:after="120" w:line="280" w:lineRule="auto"/>
        <w:ind w:left="425" w:hanging="425"/>
      </w:pPr>
      <w:r>
        <w:rPr>
          <w:b/>
        </w:rPr>
        <w:t xml:space="preserve">8. </w:t>
      </w:r>
      <w:r>
        <w:t>Brandsen, T. &amp; Helderman, J.K., "Woningcorporaties: Verbonden Vermogen", Radboud Universiteit (2009). https://repository.ubn.ru.nl/bitstream/handle/2066/78572/78572.pdf</w:t>
      </w:r>
    </w:p>
    <w:p w14:paraId="2A5C6621" w14:textId="19E6F05F" w:rsidR="00364E6A" w:rsidRDefault="00E81E3E">
      <w:pPr>
        <w:spacing w:after="120" w:line="280" w:lineRule="auto"/>
        <w:ind w:left="425" w:hanging="425"/>
      </w:pPr>
      <w:r>
        <w:rPr>
          <w:b/>
        </w:rPr>
        <w:t xml:space="preserve">9. </w:t>
      </w:r>
      <w:r>
        <w:t>AKD Advocaten, "Fusie als redmiddel voor kleine woningcorporaties?" (2019). https://akd.eu/nl/insights/fusie-als-redmiddel-voor-kleine-woningcorporaties-0</w:t>
      </w:r>
    </w:p>
    <w:p w14:paraId="35C6D183" w14:textId="17562906" w:rsidR="00364E6A" w:rsidRDefault="00E81E3E">
      <w:pPr>
        <w:spacing w:after="120" w:line="280" w:lineRule="auto"/>
        <w:ind w:left="425" w:hanging="425"/>
      </w:pPr>
      <w:r>
        <w:rPr>
          <w:b/>
        </w:rPr>
        <w:t xml:space="preserve">10. </w:t>
      </w:r>
      <w:r>
        <w:t>Rijksoverheid, "Maatregelen nodig tegen tekort woningcorporaties van € 19,4 miljard" (siječanj 2026). https://www.rijksoverheid.nl/actueel/nieuws/2026/01/29/maatregelen-nodig-tegen-tekort-woningcorporaties-van-%E2%82%AC-194-miljard</w:t>
      </w:r>
    </w:p>
    <w:p w14:paraId="27605A0B" w14:textId="19667540" w:rsidR="00364E6A" w:rsidRDefault="00E81E3E">
      <w:pPr>
        <w:spacing w:after="120" w:line="280" w:lineRule="auto"/>
        <w:ind w:left="425" w:hanging="425"/>
      </w:pPr>
      <w:r>
        <w:rPr>
          <w:b/>
        </w:rPr>
        <w:t xml:space="preserve">11. </w:t>
      </w:r>
      <w:r>
        <w:t>OneWorld, "Hoe zit het nou met die verhuurderheffing?" (2021). https://www.oneworld.nl/mensenrechten/hoe-zit-het-nou-eigenlijk-met-die-verhuurderheffing/</w:t>
      </w:r>
    </w:p>
    <w:p w14:paraId="366B2E77" w14:textId="5357D8D9" w:rsidR="00364E6A" w:rsidRDefault="00000000">
      <w:pPr>
        <w:spacing w:after="120" w:line="280" w:lineRule="auto"/>
        <w:ind w:left="425" w:hanging="425"/>
      </w:pPr>
      <w:r>
        <w:rPr>
          <w:b/>
        </w:rPr>
        <w:t>1</w:t>
      </w:r>
      <w:r w:rsidR="00E81E3E">
        <w:rPr>
          <w:b/>
        </w:rPr>
        <w:t>2</w:t>
      </w:r>
      <w:r>
        <w:rPr>
          <w:b/>
        </w:rPr>
        <w:t xml:space="preserve">. </w:t>
      </w:r>
      <w:r>
        <w:t>Aedes, "Meer nieuwe woningen bouwen na afschaffing verhuurderheffing". https://aedes.nl/nieuwbouw/meer-nieuwe-woningen-bouwen-na-afschaffing-verhuurderheffing</w:t>
      </w:r>
    </w:p>
    <w:p w14:paraId="2E130ED2" w14:textId="70828336" w:rsidR="00364E6A" w:rsidRDefault="00E81E3E">
      <w:pPr>
        <w:spacing w:after="120" w:line="280" w:lineRule="auto"/>
        <w:ind w:left="425" w:hanging="425"/>
      </w:pPr>
      <w:r>
        <w:rPr>
          <w:b/>
        </w:rPr>
        <w:t xml:space="preserve">13. </w:t>
      </w:r>
      <w:r>
        <w:t>Conijn, J., "De verhuurderheffing: een zwarte bladzijde in de geschiedenis van de volkshuisvesting", Real Estate Research Quarterly (2025),</w:t>
      </w:r>
      <w:r w:rsidR="00FF6679">
        <w:t xml:space="preserve"> </w:t>
      </w:r>
      <w:r>
        <w:t>https://www.vogon.nl/verhuurderheffing-drukte-jarenlang-investeringsvermogen-woningcorporaties/</w:t>
      </w:r>
    </w:p>
    <w:p w14:paraId="2C2C4BA8" w14:textId="3547871F" w:rsidR="00364E6A" w:rsidRDefault="00E81E3E">
      <w:pPr>
        <w:spacing w:after="120" w:line="280" w:lineRule="auto"/>
        <w:ind w:left="425" w:hanging="425"/>
      </w:pPr>
      <w:r>
        <w:rPr>
          <w:b/>
        </w:rPr>
        <w:t xml:space="preserve">14. </w:t>
      </w:r>
      <w:r>
        <w:t>Veenstra, J., Allers, M.A. &amp; Garretsen, J.H., "Evaluatie verhuurderheffing", COELO/Rijksuniversiteit Groningen (2016). https://www.rug.nl/news/2016/06/verhuurderheffing-pakt-slecht-uit?lang=nl</w:t>
      </w:r>
    </w:p>
    <w:p w14:paraId="72AC7D54" w14:textId="614D2353" w:rsidR="00EB7DF2" w:rsidRDefault="00E81E3E">
      <w:pPr>
        <w:spacing w:after="120" w:line="280" w:lineRule="auto"/>
        <w:ind w:left="425" w:hanging="425"/>
      </w:pPr>
      <w:r>
        <w:rPr>
          <w:b/>
        </w:rPr>
        <w:t xml:space="preserve">15. </w:t>
      </w:r>
      <w:r>
        <w:t>Van Dijk, W., „The socio-economic consequences of housing assistance“, job market paper, University of Chicago (2019). https://economics.nd.edu/assets/303823/vandijk_jmp_01102019.pdf</w:t>
      </w:r>
    </w:p>
    <w:p w14:paraId="5E50FF31" w14:textId="3E7916CE" w:rsidR="00EB7DF2" w:rsidRDefault="00E81E3E">
      <w:pPr>
        <w:spacing w:after="120" w:line="280" w:lineRule="auto"/>
        <w:ind w:left="425" w:hanging="425"/>
      </w:pPr>
      <w:r>
        <w:rPr>
          <w:b/>
        </w:rPr>
        <w:lastRenderedPageBreak/>
        <w:t xml:space="preserve">16. </w:t>
      </w:r>
      <w:r>
        <w:t>Jacob, B.A. &amp; Ludwig, J., „The Effects of Housing Assistance on Labor Supply: Evidence from a Voucher Lottery“, American Economic Review 102(1), 272–304 (2012). https://www.aeaweb.org/articles?id=10.1257/aer.102.1.272</w:t>
      </w:r>
    </w:p>
    <w:p w14:paraId="1BF23856" w14:textId="3780C529" w:rsidR="00364E6A" w:rsidRDefault="00E81E3E">
      <w:pPr>
        <w:spacing w:after="120" w:line="280" w:lineRule="auto"/>
        <w:ind w:left="425" w:hanging="425"/>
      </w:pPr>
      <w:r>
        <w:rPr>
          <w:b/>
        </w:rPr>
        <w:t xml:space="preserve">17. </w:t>
      </w:r>
      <w:r>
        <w:t>American Enterprise Institute, "Setting the record straight on the Vienna Social Housing Model" (2023). https://www.aei.org/wp-content/uploads/2023/09/Setting-the-record-straight-on-the-Vienna-Social-Housing-Model-final.pdf</w:t>
      </w:r>
    </w:p>
    <w:p w14:paraId="4E884022" w14:textId="66BD6DB2" w:rsidR="00364E6A" w:rsidRDefault="00E81E3E" w:rsidP="00FF6679">
      <w:pPr>
        <w:spacing w:after="120" w:line="280" w:lineRule="auto"/>
        <w:ind w:left="425" w:hanging="425"/>
      </w:pPr>
      <w:r>
        <w:rPr>
          <w:b/>
        </w:rPr>
        <w:t xml:space="preserve">18. </w:t>
      </w:r>
      <w:r>
        <w:t>World Bank, "'But what about Singapore?' Lessons from the best public housing program in the world" (2024). https://blogs.worldbank.org/en/sustainablecities/what-about-singapore-lessons-best-public-housing-program-world</w:t>
      </w:r>
    </w:p>
    <w:sectPr w:rsidR="00364E6A">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75871" w14:textId="77777777" w:rsidR="00B71DBF" w:rsidRDefault="00B71DBF">
      <w:r>
        <w:separator/>
      </w:r>
    </w:p>
  </w:endnote>
  <w:endnote w:type="continuationSeparator" w:id="0">
    <w:p w14:paraId="7FF40C55" w14:textId="77777777" w:rsidR="00B71DBF" w:rsidRDefault="00B71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8E05" w14:textId="77777777" w:rsidR="00B71DBF" w:rsidRDefault="00B71DBF">
      <w:r>
        <w:separator/>
      </w:r>
    </w:p>
  </w:footnote>
  <w:footnote w:type="continuationSeparator" w:id="0">
    <w:p w14:paraId="151CAE45" w14:textId="77777777" w:rsidR="00B71DBF" w:rsidRDefault="00B71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23616"/>
    <w:multiLevelType w:val="hybridMultilevel"/>
    <w:tmpl w:val="5CA81E3C"/>
    <w:lvl w:ilvl="0" w:tplc="4CD4D1C4">
      <w:start w:val="1"/>
      <w:numFmt w:val="bullet"/>
      <w:lvlText w:val="●"/>
      <w:lvlJc w:val="left"/>
      <w:pPr>
        <w:ind w:left="720" w:hanging="360"/>
      </w:pPr>
    </w:lvl>
    <w:lvl w:ilvl="1" w:tplc="DAE891DC">
      <w:start w:val="1"/>
      <w:numFmt w:val="bullet"/>
      <w:lvlText w:val="○"/>
      <w:lvlJc w:val="left"/>
      <w:pPr>
        <w:ind w:left="1440" w:hanging="360"/>
      </w:pPr>
    </w:lvl>
    <w:lvl w:ilvl="2" w:tplc="367A7102">
      <w:start w:val="1"/>
      <w:numFmt w:val="bullet"/>
      <w:lvlText w:val="■"/>
      <w:lvlJc w:val="left"/>
      <w:pPr>
        <w:ind w:left="2160" w:hanging="360"/>
      </w:pPr>
    </w:lvl>
    <w:lvl w:ilvl="3" w:tplc="EC8EC3D0">
      <w:start w:val="1"/>
      <w:numFmt w:val="bullet"/>
      <w:lvlText w:val="●"/>
      <w:lvlJc w:val="left"/>
      <w:pPr>
        <w:ind w:left="2880" w:hanging="360"/>
      </w:pPr>
    </w:lvl>
    <w:lvl w:ilvl="4" w:tplc="A5621F32">
      <w:start w:val="1"/>
      <w:numFmt w:val="bullet"/>
      <w:lvlText w:val="○"/>
      <w:lvlJc w:val="left"/>
      <w:pPr>
        <w:ind w:left="3600" w:hanging="360"/>
      </w:pPr>
    </w:lvl>
    <w:lvl w:ilvl="5" w:tplc="2006D416">
      <w:start w:val="1"/>
      <w:numFmt w:val="bullet"/>
      <w:lvlText w:val="■"/>
      <w:lvlJc w:val="left"/>
      <w:pPr>
        <w:ind w:left="4320" w:hanging="360"/>
      </w:pPr>
    </w:lvl>
    <w:lvl w:ilvl="6" w:tplc="10EEC444">
      <w:start w:val="1"/>
      <w:numFmt w:val="bullet"/>
      <w:lvlText w:val="●"/>
      <w:lvlJc w:val="left"/>
      <w:pPr>
        <w:ind w:left="5040" w:hanging="360"/>
      </w:pPr>
    </w:lvl>
    <w:lvl w:ilvl="7" w:tplc="0E66C91C">
      <w:start w:val="1"/>
      <w:numFmt w:val="bullet"/>
      <w:lvlText w:val="●"/>
      <w:lvlJc w:val="left"/>
      <w:pPr>
        <w:ind w:left="5760" w:hanging="360"/>
      </w:pPr>
    </w:lvl>
    <w:lvl w:ilvl="8" w:tplc="D62AC654">
      <w:start w:val="1"/>
      <w:numFmt w:val="bullet"/>
      <w:lvlText w:val="●"/>
      <w:lvlJc w:val="left"/>
      <w:pPr>
        <w:ind w:left="6480" w:hanging="360"/>
      </w:pPr>
    </w:lvl>
  </w:abstractNum>
  <w:abstractNum w:abstractNumId="1" w15:restartNumberingAfterBreak="0">
    <w:nsid w:val="1AE90D22"/>
    <w:multiLevelType w:val="hybridMultilevel"/>
    <w:tmpl w:val="F230E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A150BB"/>
    <w:multiLevelType w:val="hybridMultilevel"/>
    <w:tmpl w:val="D616A37C"/>
    <w:lvl w:ilvl="0" w:tplc="FD80B116">
      <w:start w:val="1"/>
      <w:numFmt w:val="bullet"/>
      <w:lvlText w:val="•"/>
      <w:lvlJc w:val="left"/>
      <w:pPr>
        <w:ind w:left="720" w:hanging="360"/>
      </w:pPr>
    </w:lvl>
    <w:lvl w:ilvl="1" w:tplc="05EEB5CC">
      <w:numFmt w:val="decimal"/>
      <w:lvlText w:val=""/>
      <w:lvlJc w:val="left"/>
    </w:lvl>
    <w:lvl w:ilvl="2" w:tplc="04090001">
      <w:start w:val="1"/>
      <w:numFmt w:val="bullet"/>
      <w:lvlText w:val=""/>
      <w:lvlJc w:val="left"/>
      <w:pPr>
        <w:ind w:left="360" w:hanging="360"/>
      </w:pPr>
      <w:rPr>
        <w:rFonts w:ascii="Symbol" w:hAnsi="Symbol" w:hint="default"/>
      </w:rPr>
    </w:lvl>
    <w:lvl w:ilvl="3" w:tplc="8B62DAFE">
      <w:numFmt w:val="decimal"/>
      <w:lvlText w:val=""/>
      <w:lvlJc w:val="left"/>
    </w:lvl>
    <w:lvl w:ilvl="4" w:tplc="BB9E49CC">
      <w:numFmt w:val="decimal"/>
      <w:lvlText w:val=""/>
      <w:lvlJc w:val="left"/>
    </w:lvl>
    <w:lvl w:ilvl="5" w:tplc="80083758">
      <w:numFmt w:val="decimal"/>
      <w:lvlText w:val=""/>
      <w:lvlJc w:val="left"/>
    </w:lvl>
    <w:lvl w:ilvl="6" w:tplc="7DEC2F60">
      <w:numFmt w:val="decimal"/>
      <w:lvlText w:val=""/>
      <w:lvlJc w:val="left"/>
    </w:lvl>
    <w:lvl w:ilvl="7" w:tplc="BF2A681C">
      <w:numFmt w:val="decimal"/>
      <w:lvlText w:val=""/>
      <w:lvlJc w:val="left"/>
    </w:lvl>
    <w:lvl w:ilvl="8" w:tplc="8E98E454">
      <w:numFmt w:val="decimal"/>
      <w:lvlText w:val=""/>
      <w:lvlJc w:val="left"/>
    </w:lvl>
  </w:abstractNum>
  <w:abstractNum w:abstractNumId="3" w15:restartNumberingAfterBreak="0">
    <w:nsid w:val="2FB603A0"/>
    <w:multiLevelType w:val="hybridMultilevel"/>
    <w:tmpl w:val="D3644BDC"/>
    <w:lvl w:ilvl="0" w:tplc="B79A3168">
      <w:start w:val="6"/>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7566A3"/>
    <w:multiLevelType w:val="hybridMultilevel"/>
    <w:tmpl w:val="290E6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8C3BED"/>
    <w:multiLevelType w:val="hybridMultilevel"/>
    <w:tmpl w:val="4D9A88F8"/>
    <w:lvl w:ilvl="0" w:tplc="044C458A">
      <w:start w:val="1"/>
      <w:numFmt w:val="decimal"/>
      <w:lvlText w:val="%1."/>
      <w:lvlJc w:val="left"/>
      <w:pPr>
        <w:ind w:left="1440" w:hanging="360"/>
      </w:pPr>
    </w:lvl>
    <w:lvl w:ilvl="1" w:tplc="1D8269D6">
      <w:numFmt w:val="decimal"/>
      <w:lvlText w:val=""/>
      <w:lvlJc w:val="left"/>
    </w:lvl>
    <w:lvl w:ilvl="2" w:tplc="C362140C">
      <w:numFmt w:val="decimal"/>
      <w:lvlText w:val=""/>
      <w:lvlJc w:val="left"/>
    </w:lvl>
    <w:lvl w:ilvl="3" w:tplc="7A14C694">
      <w:numFmt w:val="decimal"/>
      <w:lvlText w:val=""/>
      <w:lvlJc w:val="left"/>
    </w:lvl>
    <w:lvl w:ilvl="4" w:tplc="AB381F12">
      <w:numFmt w:val="decimal"/>
      <w:lvlText w:val=""/>
      <w:lvlJc w:val="left"/>
    </w:lvl>
    <w:lvl w:ilvl="5" w:tplc="517C5F9C">
      <w:numFmt w:val="decimal"/>
      <w:lvlText w:val=""/>
      <w:lvlJc w:val="left"/>
    </w:lvl>
    <w:lvl w:ilvl="6" w:tplc="705E4240">
      <w:numFmt w:val="decimal"/>
      <w:lvlText w:val=""/>
      <w:lvlJc w:val="left"/>
    </w:lvl>
    <w:lvl w:ilvl="7" w:tplc="129C6DA0">
      <w:numFmt w:val="decimal"/>
      <w:lvlText w:val=""/>
      <w:lvlJc w:val="left"/>
    </w:lvl>
    <w:lvl w:ilvl="8" w:tplc="15A4B988">
      <w:numFmt w:val="decimal"/>
      <w:lvlText w:val=""/>
      <w:lvlJc w:val="left"/>
    </w:lvl>
  </w:abstractNum>
  <w:abstractNum w:abstractNumId="6" w15:restartNumberingAfterBreak="0">
    <w:nsid w:val="76184903"/>
    <w:multiLevelType w:val="hybridMultilevel"/>
    <w:tmpl w:val="A1BE7C4E"/>
    <w:lvl w:ilvl="0" w:tplc="9DB014E2">
      <w:start w:val="6"/>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8507389"/>
    <w:multiLevelType w:val="hybridMultilevel"/>
    <w:tmpl w:val="4D9A88F8"/>
    <w:lvl w:ilvl="0" w:tplc="FFFFFFFF">
      <w:start w:val="1"/>
      <w:numFmt w:val="decimal"/>
      <w:lvlText w:val="%1."/>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60921449">
    <w:abstractNumId w:val="0"/>
    <w:lvlOverride w:ilvl="0">
      <w:startOverride w:val="1"/>
    </w:lvlOverride>
  </w:num>
  <w:num w:numId="2" w16cid:durableId="1517964714">
    <w:abstractNumId w:val="2"/>
  </w:num>
  <w:num w:numId="3" w16cid:durableId="1016418296">
    <w:abstractNumId w:val="5"/>
    <w:lvlOverride w:ilvl="0">
      <w:startOverride w:val="1"/>
    </w:lvlOverride>
  </w:num>
  <w:num w:numId="4" w16cid:durableId="1499156258">
    <w:abstractNumId w:val="2"/>
  </w:num>
  <w:num w:numId="5" w16cid:durableId="1381631732">
    <w:abstractNumId w:val="3"/>
  </w:num>
  <w:num w:numId="6" w16cid:durableId="2034265367">
    <w:abstractNumId w:val="6"/>
  </w:num>
  <w:num w:numId="7" w16cid:durableId="745692655">
    <w:abstractNumId w:val="4"/>
  </w:num>
  <w:num w:numId="8" w16cid:durableId="722018603">
    <w:abstractNumId w:val="1"/>
  </w:num>
  <w:num w:numId="9" w16cid:durableId="1012298624">
    <w:abstractNumId w:val="5"/>
  </w:num>
  <w:num w:numId="10" w16cid:durableId="2428775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89"/>
    <w:rsid w:val="000D60E6"/>
    <w:rsid w:val="00104B09"/>
    <w:rsid w:val="00112DD8"/>
    <w:rsid w:val="00183E98"/>
    <w:rsid w:val="001C72BB"/>
    <w:rsid w:val="001D2434"/>
    <w:rsid w:val="001D72A9"/>
    <w:rsid w:val="001F24B5"/>
    <w:rsid w:val="002913C0"/>
    <w:rsid w:val="002B4502"/>
    <w:rsid w:val="00364E6A"/>
    <w:rsid w:val="00455A21"/>
    <w:rsid w:val="004572C0"/>
    <w:rsid w:val="004C2AED"/>
    <w:rsid w:val="004C7B23"/>
    <w:rsid w:val="004D3706"/>
    <w:rsid w:val="00601878"/>
    <w:rsid w:val="0063162B"/>
    <w:rsid w:val="006B5654"/>
    <w:rsid w:val="006C7724"/>
    <w:rsid w:val="006D3689"/>
    <w:rsid w:val="007834BB"/>
    <w:rsid w:val="00796A97"/>
    <w:rsid w:val="007A5959"/>
    <w:rsid w:val="009A4959"/>
    <w:rsid w:val="009B2E3D"/>
    <w:rsid w:val="009E288E"/>
    <w:rsid w:val="00A1618A"/>
    <w:rsid w:val="00A7444C"/>
    <w:rsid w:val="00AB0A97"/>
    <w:rsid w:val="00B11F92"/>
    <w:rsid w:val="00B1417B"/>
    <w:rsid w:val="00B71DBF"/>
    <w:rsid w:val="00C97334"/>
    <w:rsid w:val="00D95DAC"/>
    <w:rsid w:val="00E81E3E"/>
    <w:rsid w:val="00E87129"/>
    <w:rsid w:val="00EB7DF2"/>
    <w:rsid w:val="00F71985"/>
    <w:rsid w:val="00FF6679"/>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3683397D"/>
  <w15:docId w15:val="{270D0467-6723-4E45-8735-3EA97638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H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0E6"/>
    <w:rPr>
      <w:rFonts w:ascii="Georgia" w:hAnsi="Georgia"/>
    </w:rPr>
  </w:style>
  <w:style w:type="paragraph" w:styleId="Heading1">
    <w:name w:val="heading 1"/>
    <w:uiPriority w:val="9"/>
    <w:qFormat/>
    <w:rsid w:val="000D60E6"/>
    <w:pPr>
      <w:spacing w:before="360" w:after="200"/>
      <w:outlineLvl w:val="0"/>
    </w:pPr>
    <w:rPr>
      <w:rFonts w:asciiTheme="majorHAnsi" w:hAnsiTheme="majorHAnsi"/>
      <w:b/>
      <w:bCs/>
      <w:sz w:val="32"/>
      <w:szCs w:val="30"/>
    </w:rPr>
  </w:style>
  <w:style w:type="paragraph" w:styleId="Heading2">
    <w:name w:val="heading 2"/>
    <w:uiPriority w:val="9"/>
    <w:unhideWhenUsed/>
    <w:qFormat/>
    <w:rsid w:val="000D60E6"/>
    <w:pPr>
      <w:spacing w:before="240" w:after="160"/>
      <w:outlineLvl w:val="1"/>
    </w:pPr>
    <w:rPr>
      <w:rFonts w:asciiTheme="minorHAnsi" w:hAnsiTheme="minorHAnsi"/>
      <w:b/>
      <w:bCs/>
      <w:sz w:val="28"/>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320"/>
    </w:pPr>
    <w:rPr>
      <w:b/>
      <w:bCs/>
      <w:sz w:val="40"/>
      <w:szCs w:val="40"/>
    </w:rPr>
  </w:style>
  <w:style w:type="paragraph" w:customStyle="1" w:styleId="Strong1">
    <w:name w:val="Strong1"/>
    <w:qFormat/>
    <w:rPr>
      <w:b/>
      <w:bCs/>
    </w:rPr>
  </w:style>
  <w:style w:type="paragraph" w:styleId="ListParagraph">
    <w:name w:val="List Paragraph"/>
    <w:qFormat/>
    <w:rsid w:val="000D60E6"/>
    <w:rPr>
      <w:rFonts w:ascii="Georgia" w:hAnsi="Georgia"/>
    </w:r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572C0"/>
    <w:pPr>
      <w:tabs>
        <w:tab w:val="center" w:pos="4513"/>
        <w:tab w:val="right" w:pos="9026"/>
      </w:tabs>
    </w:pPr>
  </w:style>
  <w:style w:type="character" w:customStyle="1" w:styleId="HeaderChar">
    <w:name w:val="Header Char"/>
    <w:basedOn w:val="DefaultParagraphFont"/>
    <w:link w:val="Header"/>
    <w:uiPriority w:val="99"/>
    <w:rsid w:val="004572C0"/>
    <w:rPr>
      <w:rFonts w:ascii="Georgia" w:hAnsi="Georgia"/>
    </w:rPr>
  </w:style>
  <w:style w:type="paragraph" w:styleId="Footer">
    <w:name w:val="footer"/>
    <w:basedOn w:val="Normal"/>
    <w:link w:val="FooterChar"/>
    <w:uiPriority w:val="99"/>
    <w:unhideWhenUsed/>
    <w:rsid w:val="004572C0"/>
    <w:pPr>
      <w:tabs>
        <w:tab w:val="center" w:pos="4513"/>
        <w:tab w:val="right" w:pos="9026"/>
      </w:tabs>
    </w:pPr>
  </w:style>
  <w:style w:type="character" w:customStyle="1" w:styleId="FooterChar">
    <w:name w:val="Footer Char"/>
    <w:basedOn w:val="DefaultParagraphFont"/>
    <w:link w:val="Footer"/>
    <w:uiPriority w:val="99"/>
    <w:rsid w:val="004572C0"/>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9</Pages>
  <Words>2748</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Nizozemski stambeni model</vt:lpstr>
    </vt:vector>
  </TitlesOfParts>
  <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Nizozemski stambeni model</dc:title>
  <dc:creator>27 Stars</dc:creator>
  <cp:lastModifiedBy>Benedikt Petar Barun</cp:lastModifiedBy>
  <cp:revision>20</cp:revision>
  <dcterms:created xsi:type="dcterms:W3CDTF">2026-04-15T12:48:00Z</dcterms:created>
  <dcterms:modified xsi:type="dcterms:W3CDTF">2026-05-06T13:42:00Z</dcterms:modified>
</cp:coreProperties>
</file>