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0AAA1" w14:textId="77777777" w:rsidR="00473509" w:rsidRPr="00473509" w:rsidRDefault="00915FDC" w:rsidP="00473509">
      <w:pPr>
        <w:spacing w:before="800" w:after="60"/>
        <w:jc w:val="center"/>
        <w:rPr>
          <w:b/>
          <w:bCs/>
          <w:color w:val="1A2E4A"/>
          <w:sz w:val="64"/>
          <w:szCs w:val="64"/>
        </w:rPr>
      </w:pPr>
      <w:r>
        <w:rPr>
          <w:b/>
          <w:bCs/>
          <w:color w:val="1A2E4A"/>
          <w:sz w:val="64"/>
          <w:szCs w:val="64"/>
        </w:rPr>
        <w:t>BEČKA STAMBENA POLITIKA</w:t>
      </w:r>
    </w:p>
    <w:p w14:paraId="040EB7FC" w14:textId="77777777" w:rsidR="0087134D" w:rsidRDefault="00915FDC" w:rsidP="00473509">
      <w:pPr>
        <w:pStyle w:val="Naslov1"/>
        <w:pBdr>
          <w:left w:val="thick" w:sz="18" w:space="8" w:color="C8372D"/>
        </w:pBdr>
      </w:pPr>
      <w:r>
        <w:t>1. Kontekst: Beč kao globalni uzor stanovanja</w:t>
      </w:r>
    </w:p>
    <w:p w14:paraId="5AD741DF" w14:textId="77777777" w:rsidR="00C2401F" w:rsidRDefault="00C2401F">
      <w:pPr>
        <w:spacing w:before="40" w:after="40"/>
      </w:pPr>
      <w:r>
        <w:t xml:space="preserve">Beč je, s 1,9 milijuna stanovnika, jedna od najbrže rastućih metropola u zapadnoj Europi. </w:t>
      </w:r>
    </w:p>
    <w:p w14:paraId="02321953" w14:textId="77777777" w:rsidR="00C2401F" w:rsidRDefault="00C2401F">
      <w:pPr>
        <w:spacing w:before="40" w:after="40"/>
      </w:pPr>
      <w:r>
        <w:t xml:space="preserve">Grad je do 2025. tri godine zaredom držao prvo mjesto na EIU Global </w:t>
      </w:r>
      <w:proofErr w:type="spellStart"/>
      <w:r>
        <w:t>Livability</w:t>
      </w:r>
      <w:proofErr w:type="spellEnd"/>
      <w:r>
        <w:t xml:space="preserve"> Indexu, no te </w:t>
      </w:r>
      <w:r>
        <w:t xml:space="preserve">je godine pao na drugo mjesto, iza Kopenhagena, </w:t>
      </w:r>
      <w:r>
        <w:t>isključivo zbog pada u kategoriji stabilnosti, nakon otkrivanja planiranog napada na gradsku željezničku stanicu. Analitičari EIU-a naglašavaju da sam napad nije utjecao na kvalitetu života, ali je sigurnosna prijetnja ostavila trag u metodologiji.</w:t>
      </w:r>
    </w:p>
    <w:p w14:paraId="72310FDF" w14:textId="121FCE95" w:rsidR="0087134D" w:rsidRDefault="00C2401F">
      <w:pPr>
        <w:spacing w:before="40" w:after="40"/>
      </w:pPr>
      <w:r>
        <w:t>Stambena politika i dalje igra ključnu ulogu u bečkoj poziciji. Dok London, Berlin i Amsterdam bilježe dramatičan rast cijena najma i rast beskućništva, Bečani troše manj</w:t>
      </w:r>
      <w:r>
        <w:t>e od 25% prihoda na stanovanje dok je</w:t>
      </w:r>
      <w:r>
        <w:t xml:space="preserve"> europski prosjek 40%.</w:t>
      </w:r>
    </w:p>
    <w:p w14:paraId="6944F5CE" w14:textId="77777777" w:rsidR="00C2401F" w:rsidRDefault="00C2401F">
      <w:pPr>
        <w:spacing w:before="40" w:after="40"/>
      </w:pPr>
    </w:p>
    <w:p w14:paraId="5F3AD632" w14:textId="77777777" w:rsidR="0087134D" w:rsidRDefault="00915FDC">
      <w:pPr>
        <w:pStyle w:val="Naslov1"/>
        <w:pBdr>
          <w:left w:val="thick" w:sz="18" w:space="8" w:color="C8372D"/>
        </w:pBdr>
        <w:ind w:left="200"/>
      </w:pPr>
      <w:r>
        <w:t xml:space="preserve">2. Povijesni temelj: </w:t>
      </w:r>
      <w:proofErr w:type="spellStart"/>
      <w:r>
        <w:t>Rotes</w:t>
      </w:r>
      <w:proofErr w:type="spellEnd"/>
      <w:r>
        <w:t xml:space="preserve"> </w:t>
      </w:r>
      <w:proofErr w:type="spellStart"/>
      <w:r>
        <w:t>Wien</w:t>
      </w:r>
      <w:proofErr w:type="spellEnd"/>
      <w:r>
        <w:t xml:space="preserve"> i gradnja od 1919.</w:t>
      </w:r>
    </w:p>
    <w:p w14:paraId="6F38237D" w14:textId="77777777" w:rsidR="0087134D" w:rsidRDefault="00915FDC">
      <w:pPr>
        <w:spacing w:before="80" w:after="100"/>
      </w:pPr>
      <w:r>
        <w:rPr>
          <w:color w:val="222222"/>
        </w:rPr>
        <w:t xml:space="preserve">Bečki stambeni model nastao je u izvanrednom povijesnom trenutku. Nakon Prvog svjetskog rata, 1919. godine, Socijaldemokratska radnička stranka preuzela je upravu grada. Tadašnje stambene prilike bile su katastrofalne: industrijalizacija i migracija s periferije Austro-Ugarske donijela je eksploziju </w:t>
      </w:r>
      <w:proofErr w:type="spellStart"/>
      <w:r>
        <w:rPr>
          <w:color w:val="222222"/>
        </w:rPr>
        <w:t>population</w:t>
      </w:r>
      <w:proofErr w:type="spellEnd"/>
      <w:r>
        <w:rPr>
          <w:color w:val="222222"/>
        </w:rPr>
        <w:t xml:space="preserve"> u posve neprikladne uvjete – podstanari u jednoj sobi, bez kanalizacije, bez grijanja.</w:t>
      </w:r>
    </w:p>
    <w:p w14:paraId="57B65EC1" w14:textId="77777777" w:rsidR="0087134D" w:rsidRDefault="0087134D">
      <w:pPr>
        <w:spacing w:before="40" w:after="40"/>
      </w:pPr>
    </w:p>
    <w:p w14:paraId="0A5E04FB" w14:textId="77777777" w:rsidR="0087134D" w:rsidRDefault="00915FDC">
      <w:pPr>
        <w:pStyle w:val="Naslov2"/>
        <w:pBdr>
          <w:left w:val="single" w:sz="8" w:space="6" w:color="E8A020"/>
        </w:pBdr>
        <w:ind w:left="160"/>
      </w:pPr>
      <w:proofErr w:type="spellStart"/>
      <w:r>
        <w:t>Rotes</w:t>
      </w:r>
      <w:proofErr w:type="spellEnd"/>
      <w:r>
        <w:t xml:space="preserve"> </w:t>
      </w:r>
      <w:proofErr w:type="spellStart"/>
      <w:r>
        <w:t>Wien</w:t>
      </w:r>
      <w:proofErr w:type="spellEnd"/>
      <w:r>
        <w:t xml:space="preserve"> (1919.–1934.)</w:t>
      </w:r>
    </w:p>
    <w:p w14:paraId="53F1D61E" w14:textId="77777777" w:rsidR="0087134D" w:rsidRDefault="00915FDC">
      <w:pPr>
        <w:spacing w:before="80" w:after="100"/>
      </w:pPr>
      <w:r>
        <w:rPr>
          <w:color w:val="222222"/>
        </w:rPr>
        <w:t xml:space="preserve">U samo 15 godina Crveni Beč izgradio je više od 60.000 stambenih jedinica – revolucionarna brojka za to doba. Najpoznatiji primjer je </w:t>
      </w:r>
      <w:proofErr w:type="spellStart"/>
      <w:r>
        <w:rPr>
          <w:color w:val="222222"/>
        </w:rPr>
        <w:t>Karl</w:t>
      </w:r>
      <w:proofErr w:type="spellEnd"/>
      <w:r>
        <w:rPr>
          <w:color w:val="222222"/>
        </w:rPr>
        <w:t>-Marx-</w:t>
      </w:r>
      <w:proofErr w:type="spellStart"/>
      <w:r>
        <w:rPr>
          <w:color w:val="222222"/>
        </w:rPr>
        <w:t>Hof</w:t>
      </w:r>
      <w:proofErr w:type="spellEnd"/>
      <w:r>
        <w:rPr>
          <w:color w:val="222222"/>
        </w:rPr>
        <w:t xml:space="preserve"> (1927.–1930.), dugačak 1,1 km, s 1.382 stana, zajedničkim vrtovima, praonicama, ambulantama i knjižnicama. Nije to bio samo stan – bila je to socijalna infrastruktura.</w:t>
      </w:r>
    </w:p>
    <w:p w14:paraId="7FB01AEE" w14:textId="77777777" w:rsidR="0087134D" w:rsidRDefault="0087134D">
      <w:pPr>
        <w:spacing w:before="40" w:after="40"/>
      </w:pPr>
    </w:p>
    <w:p w14:paraId="22061B18" w14:textId="77777777" w:rsidR="0087134D" w:rsidRDefault="00915FDC" w:rsidP="00473509">
      <w:pPr>
        <w:spacing w:before="80" w:after="100"/>
      </w:pPr>
      <w:r>
        <w:rPr>
          <w:color w:val="222222"/>
        </w:rPr>
        <w:t xml:space="preserve">Financiranje je dolazilo iz tzv. </w:t>
      </w:r>
      <w:proofErr w:type="spellStart"/>
      <w:r>
        <w:rPr>
          <w:color w:val="222222"/>
        </w:rPr>
        <w:t>Wohnbausteuer</w:t>
      </w:r>
      <w:proofErr w:type="spellEnd"/>
      <w:r>
        <w:rPr>
          <w:color w:val="222222"/>
        </w:rPr>
        <w:t xml:space="preserve"> (poreza na stanovanje koji je progresivno oporezivao luksuzan smještaj) – model koji je do tada bio neviđen u Europi.</w:t>
      </w:r>
    </w:p>
    <w:p w14:paraId="5F4A1A25" w14:textId="77777777" w:rsidR="0087134D" w:rsidRDefault="00915FDC">
      <w:pPr>
        <w:spacing w:before="60" w:after="60"/>
      </w:pPr>
      <w:r>
        <w:rPr>
          <w:i/>
          <w:iCs/>
          <w:color w:val="555555"/>
          <w:sz w:val="20"/>
          <w:szCs w:val="20"/>
        </w:rPr>
        <w:t xml:space="preserve">Dijagram 1: Broj izgrađenih stambenih jedinica u Beču 1919.–1934. nasuprot 2000.–2024. (Izvor: </w:t>
      </w:r>
      <w:proofErr w:type="spellStart"/>
      <w:r>
        <w:rPr>
          <w:i/>
          <w:iCs/>
          <w:color w:val="555555"/>
          <w:sz w:val="20"/>
          <w:szCs w:val="20"/>
        </w:rPr>
        <w:t>Stadt</w:t>
      </w:r>
      <w:proofErr w:type="spellEnd"/>
      <w:r>
        <w:rPr>
          <w:i/>
          <w:iCs/>
          <w:color w:val="555555"/>
          <w:sz w:val="20"/>
          <w:szCs w:val="20"/>
        </w:rPr>
        <w:t xml:space="preserve"> </w:t>
      </w:r>
      <w:proofErr w:type="spellStart"/>
      <w:r>
        <w:rPr>
          <w:i/>
          <w:iCs/>
          <w:color w:val="555555"/>
          <w:sz w:val="20"/>
          <w:szCs w:val="20"/>
        </w:rPr>
        <w:t>Wien</w:t>
      </w:r>
      <w:proofErr w:type="spellEnd"/>
      <w:r>
        <w:rPr>
          <w:i/>
          <w:iCs/>
          <w:color w:val="555555"/>
          <w:sz w:val="20"/>
          <w:szCs w:val="20"/>
        </w:rPr>
        <w:t xml:space="preserve">, </w:t>
      </w:r>
      <w:proofErr w:type="spellStart"/>
      <w:r>
        <w:rPr>
          <w:i/>
          <w:iCs/>
          <w:color w:val="555555"/>
          <w:sz w:val="20"/>
          <w:szCs w:val="20"/>
        </w:rPr>
        <w:t>Wiener</w:t>
      </w:r>
      <w:proofErr w:type="spellEnd"/>
      <w:r>
        <w:rPr>
          <w:i/>
          <w:iCs/>
          <w:color w:val="555555"/>
          <w:sz w:val="20"/>
          <w:szCs w:val="20"/>
        </w:rPr>
        <w:t xml:space="preserve"> </w:t>
      </w:r>
      <w:proofErr w:type="spellStart"/>
      <w:r>
        <w:rPr>
          <w:i/>
          <w:iCs/>
          <w:color w:val="555555"/>
          <w:sz w:val="20"/>
          <w:szCs w:val="20"/>
        </w:rPr>
        <w:t>Wohnen</w:t>
      </w:r>
      <w:proofErr w:type="spellEnd"/>
      <w:r>
        <w:rPr>
          <w:i/>
          <w:iCs/>
          <w:color w:val="555555"/>
          <w:sz w:val="20"/>
          <w:szCs w:val="20"/>
        </w:rPr>
        <w:t>)</w:t>
      </w:r>
    </w:p>
    <w:p w14:paraId="38D9E0A6" w14:textId="77777777" w:rsidR="0087134D" w:rsidRDefault="0087134D">
      <w:pPr>
        <w:spacing w:before="40" w:after="40"/>
      </w:pP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5400"/>
        <w:gridCol w:w="1000"/>
      </w:tblGrid>
      <w:tr w:rsidR="0087134D" w14:paraId="2BE870BD" w14:textId="77777777">
        <w:trPr>
          <w:tblHeader/>
        </w:trPr>
        <w:tc>
          <w:tcPr>
            <w:tcW w:w="88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E4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98C06AA" w14:textId="77777777" w:rsidR="0087134D" w:rsidRDefault="00915FDC">
            <w:r>
              <w:rPr>
                <w:b/>
                <w:bCs/>
                <w:color w:val="FFFFFF"/>
              </w:rPr>
              <w:t>Dijagram 1: Stambena gradnja u Beču – odabrana razdoblja (tisuće jedinica)</w:t>
            </w:r>
          </w:p>
        </w:tc>
      </w:tr>
      <w:tr w:rsidR="0087134D" w14:paraId="098D6196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70" w:type="dxa"/>
              <w:left w:w="120" w:type="dxa"/>
              <w:bottom w:w="70" w:type="dxa"/>
              <w:right w:w="60" w:type="dxa"/>
            </w:tcMar>
          </w:tcPr>
          <w:p w14:paraId="0F39D95B" w14:textId="77777777" w:rsidR="0087134D" w:rsidRDefault="00915FDC">
            <w:r>
              <w:rPr>
                <w:color w:val="222222"/>
                <w:sz w:val="20"/>
                <w:szCs w:val="20"/>
              </w:rPr>
              <w:t>1919.–1934. (</w:t>
            </w:r>
            <w:proofErr w:type="spellStart"/>
            <w:r>
              <w:rPr>
                <w:color w:val="222222"/>
                <w:sz w:val="20"/>
                <w:szCs w:val="20"/>
              </w:rPr>
              <w:t>Rotes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Wien</w:t>
            </w:r>
            <w:proofErr w:type="spellEnd"/>
            <w:r>
              <w:rPr>
                <w:color w:val="222222"/>
                <w:sz w:val="20"/>
                <w:szCs w:val="20"/>
              </w:rPr>
              <w:t>)</w:t>
            </w:r>
          </w:p>
        </w:tc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3954319B" w14:textId="77777777" w:rsidR="0087134D" w:rsidRDefault="00915FDC">
            <w:r>
              <w:rPr>
                <w:color w:val="C8372D"/>
              </w:rPr>
              <w:t>████████████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70" w:type="dxa"/>
              <w:left w:w="60" w:type="dxa"/>
              <w:bottom w:w="70" w:type="dxa"/>
              <w:right w:w="100" w:type="dxa"/>
            </w:tcMar>
          </w:tcPr>
          <w:p w14:paraId="6DFFCDF7" w14:textId="77777777" w:rsidR="0087134D" w:rsidRDefault="00915FDC">
            <w:pPr>
              <w:jc w:val="right"/>
            </w:pPr>
            <w:r>
              <w:rPr>
                <w:b/>
                <w:bCs/>
                <w:color w:val="1A2E4A"/>
                <w:sz w:val="20"/>
                <w:szCs w:val="20"/>
              </w:rPr>
              <w:t>~60.000</w:t>
            </w:r>
          </w:p>
        </w:tc>
      </w:tr>
      <w:tr w:rsidR="0087134D" w14:paraId="64286535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60" w:type="dxa"/>
            </w:tcMar>
          </w:tcPr>
          <w:p w14:paraId="0FE57DB4" w14:textId="77777777" w:rsidR="0087134D" w:rsidRDefault="00915FDC">
            <w:r>
              <w:rPr>
                <w:color w:val="222222"/>
                <w:sz w:val="20"/>
                <w:szCs w:val="20"/>
              </w:rPr>
              <w:t>1945.–1980. (obnova)</w:t>
            </w:r>
          </w:p>
        </w:tc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72141D6E" w14:textId="77777777" w:rsidR="0087134D" w:rsidRDefault="00915FDC">
            <w:r>
              <w:rPr>
                <w:color w:val="1A2E4A"/>
              </w:rPr>
              <w:t>███████████████████████████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100" w:type="dxa"/>
            </w:tcMar>
          </w:tcPr>
          <w:p w14:paraId="08BA0A43" w14:textId="77777777" w:rsidR="0087134D" w:rsidRDefault="00915FDC">
            <w:pPr>
              <w:jc w:val="right"/>
            </w:pPr>
            <w:r>
              <w:rPr>
                <w:b/>
                <w:bCs/>
                <w:color w:val="1A2E4A"/>
                <w:sz w:val="20"/>
                <w:szCs w:val="20"/>
              </w:rPr>
              <w:t>~130.000</w:t>
            </w:r>
          </w:p>
        </w:tc>
      </w:tr>
      <w:tr w:rsidR="0087134D" w14:paraId="7BB711C3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70" w:type="dxa"/>
              <w:left w:w="120" w:type="dxa"/>
              <w:bottom w:w="70" w:type="dxa"/>
              <w:right w:w="60" w:type="dxa"/>
            </w:tcMar>
          </w:tcPr>
          <w:p w14:paraId="7CBF9D48" w14:textId="77777777" w:rsidR="0087134D" w:rsidRDefault="00915FDC">
            <w:r>
              <w:rPr>
                <w:color w:val="222222"/>
                <w:sz w:val="20"/>
                <w:szCs w:val="20"/>
              </w:rPr>
              <w:t>1980.–2000. (liberalizacija)</w:t>
            </w:r>
          </w:p>
        </w:tc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5E01DD19" w14:textId="77777777" w:rsidR="0087134D" w:rsidRDefault="00915FDC">
            <w:r>
              <w:rPr>
                <w:color w:val="E8A020"/>
              </w:rPr>
              <w:t>█████████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70" w:type="dxa"/>
              <w:left w:w="60" w:type="dxa"/>
              <w:bottom w:w="70" w:type="dxa"/>
              <w:right w:w="100" w:type="dxa"/>
            </w:tcMar>
          </w:tcPr>
          <w:p w14:paraId="088BF15C" w14:textId="77777777" w:rsidR="0087134D" w:rsidRDefault="00915FDC">
            <w:pPr>
              <w:jc w:val="right"/>
            </w:pPr>
            <w:r>
              <w:rPr>
                <w:b/>
                <w:bCs/>
                <w:color w:val="1A2E4A"/>
                <w:sz w:val="20"/>
                <w:szCs w:val="20"/>
              </w:rPr>
              <w:t>~45.000</w:t>
            </w:r>
          </w:p>
        </w:tc>
      </w:tr>
      <w:tr w:rsidR="00473509" w14:paraId="2BBDAD1C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70" w:type="dxa"/>
              <w:left w:w="120" w:type="dxa"/>
              <w:bottom w:w="70" w:type="dxa"/>
              <w:right w:w="60" w:type="dxa"/>
            </w:tcMar>
          </w:tcPr>
          <w:p w14:paraId="393160A6" w14:textId="77777777" w:rsidR="00473509" w:rsidRDefault="00473509">
            <w:pPr>
              <w:rPr>
                <w:color w:val="222222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36558F0E" w14:textId="77777777" w:rsidR="00473509" w:rsidRDefault="00473509">
            <w:pPr>
              <w:rPr>
                <w:color w:val="E8A020"/>
              </w:rPr>
            </w:pP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70" w:type="dxa"/>
              <w:left w:w="60" w:type="dxa"/>
              <w:bottom w:w="70" w:type="dxa"/>
              <w:right w:w="100" w:type="dxa"/>
            </w:tcMar>
          </w:tcPr>
          <w:p w14:paraId="0B5DE242" w14:textId="77777777" w:rsidR="00473509" w:rsidRDefault="00473509">
            <w:pPr>
              <w:jc w:val="right"/>
              <w:rPr>
                <w:b/>
                <w:bCs/>
                <w:color w:val="1A2E4A"/>
                <w:sz w:val="20"/>
                <w:szCs w:val="20"/>
              </w:rPr>
            </w:pPr>
          </w:p>
        </w:tc>
      </w:tr>
      <w:tr w:rsidR="0087134D" w14:paraId="70A70EFF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60" w:type="dxa"/>
            </w:tcMar>
          </w:tcPr>
          <w:p w14:paraId="26A6C851" w14:textId="77777777" w:rsidR="0087134D" w:rsidRDefault="00915FDC">
            <w:r>
              <w:rPr>
                <w:color w:val="222222"/>
                <w:sz w:val="20"/>
                <w:szCs w:val="20"/>
              </w:rPr>
              <w:t>2000.–2020. (WFW programi)</w:t>
            </w:r>
          </w:p>
        </w:tc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675F874B" w14:textId="77777777" w:rsidR="0087134D" w:rsidRDefault="00915FDC">
            <w:r>
              <w:rPr>
                <w:color w:val="C8372D"/>
              </w:rPr>
              <w:t>███████████████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100" w:type="dxa"/>
            </w:tcMar>
          </w:tcPr>
          <w:p w14:paraId="56D6271B" w14:textId="77777777" w:rsidR="0087134D" w:rsidRDefault="00915FDC">
            <w:pPr>
              <w:jc w:val="right"/>
            </w:pPr>
            <w:r>
              <w:rPr>
                <w:b/>
                <w:bCs/>
                <w:color w:val="1A2E4A"/>
                <w:sz w:val="20"/>
                <w:szCs w:val="20"/>
              </w:rPr>
              <w:t>~70.000</w:t>
            </w:r>
          </w:p>
        </w:tc>
      </w:tr>
      <w:tr w:rsidR="0087134D" w14:paraId="36592E1B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70" w:type="dxa"/>
              <w:left w:w="120" w:type="dxa"/>
              <w:bottom w:w="70" w:type="dxa"/>
              <w:right w:w="60" w:type="dxa"/>
            </w:tcMar>
          </w:tcPr>
          <w:p w14:paraId="53F744D2" w14:textId="77777777" w:rsidR="0087134D" w:rsidRDefault="00915FDC">
            <w:r>
              <w:rPr>
                <w:color w:val="222222"/>
                <w:sz w:val="20"/>
                <w:szCs w:val="20"/>
              </w:rPr>
              <w:t>2020.–2024. (pad gradnje)</w:t>
            </w:r>
          </w:p>
        </w:tc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5018139D" w14:textId="77777777" w:rsidR="0087134D" w:rsidRDefault="00915FDC">
            <w:r>
              <w:rPr>
                <w:color w:val="AA0000"/>
              </w:rPr>
              <w:t>████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70" w:type="dxa"/>
              <w:left w:w="60" w:type="dxa"/>
              <w:bottom w:w="70" w:type="dxa"/>
              <w:right w:w="100" w:type="dxa"/>
            </w:tcMar>
          </w:tcPr>
          <w:p w14:paraId="46B55A62" w14:textId="77777777" w:rsidR="0087134D" w:rsidRDefault="00915FDC">
            <w:pPr>
              <w:jc w:val="right"/>
            </w:pPr>
            <w:r>
              <w:rPr>
                <w:b/>
                <w:bCs/>
                <w:color w:val="1A2E4A"/>
                <w:sz w:val="20"/>
                <w:szCs w:val="20"/>
              </w:rPr>
              <w:t>~18.000</w:t>
            </w:r>
          </w:p>
        </w:tc>
      </w:tr>
      <w:tr w:rsidR="0087134D" w14:paraId="4420050F" w14:textId="77777777">
        <w:tc>
          <w:tcPr>
            <w:tcW w:w="0" w:type="auto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40" w:type="dxa"/>
              <w:right w:w="160" w:type="dxa"/>
            </w:tcMar>
          </w:tcPr>
          <w:p w14:paraId="164A86BF" w14:textId="77777777" w:rsidR="0087134D" w:rsidRDefault="00915FDC">
            <w:r>
              <w:rPr>
                <w:i/>
                <w:iCs/>
                <w:color w:val="777777"/>
                <w:sz w:val="18"/>
                <w:szCs w:val="18"/>
              </w:rPr>
              <w:t xml:space="preserve">Napomena: Procijenjeni kumulativni podaci. Izvor: </w:t>
            </w:r>
            <w:proofErr w:type="spellStart"/>
            <w:r>
              <w:rPr>
                <w:i/>
                <w:iCs/>
                <w:color w:val="777777"/>
                <w:sz w:val="18"/>
                <w:szCs w:val="18"/>
              </w:rPr>
              <w:t>Stadt</w:t>
            </w:r>
            <w:proofErr w:type="spellEnd"/>
            <w:r>
              <w:rPr>
                <w:i/>
                <w:iCs/>
                <w:color w:val="7777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777777"/>
                <w:sz w:val="18"/>
                <w:szCs w:val="18"/>
              </w:rPr>
              <w:t>Wien</w:t>
            </w:r>
            <w:proofErr w:type="spellEnd"/>
            <w:r>
              <w:rPr>
                <w:i/>
                <w:iCs/>
                <w:color w:val="777777"/>
                <w:sz w:val="18"/>
                <w:szCs w:val="18"/>
              </w:rPr>
              <w:t xml:space="preserve"> / </w:t>
            </w:r>
            <w:proofErr w:type="spellStart"/>
            <w:r>
              <w:rPr>
                <w:i/>
                <w:iCs/>
                <w:color w:val="777777"/>
                <w:sz w:val="18"/>
                <w:szCs w:val="18"/>
              </w:rPr>
              <w:t>Wiener</w:t>
            </w:r>
            <w:proofErr w:type="spellEnd"/>
            <w:r>
              <w:rPr>
                <w:i/>
                <w:iCs/>
                <w:color w:val="7777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777777"/>
                <w:sz w:val="18"/>
                <w:szCs w:val="18"/>
              </w:rPr>
              <w:t>Wohnen</w:t>
            </w:r>
            <w:proofErr w:type="spellEnd"/>
            <w:r>
              <w:rPr>
                <w:i/>
                <w:iCs/>
                <w:color w:val="777777"/>
                <w:sz w:val="18"/>
                <w:szCs w:val="18"/>
              </w:rPr>
              <w:t xml:space="preserve"> godišnji izvještaji.</w:t>
            </w:r>
          </w:p>
        </w:tc>
      </w:tr>
    </w:tbl>
    <w:p w14:paraId="1B6EE8B8" w14:textId="77777777" w:rsidR="0087134D" w:rsidRDefault="0087134D"/>
    <w:p w14:paraId="08E28D46" w14:textId="77777777" w:rsidR="0087134D" w:rsidRDefault="00915FDC" w:rsidP="00473509">
      <w:pPr>
        <w:pStyle w:val="Naslov1"/>
        <w:pBdr>
          <w:left w:val="thick" w:sz="18" w:space="8" w:color="C8372D"/>
        </w:pBdr>
      </w:pPr>
      <w:r>
        <w:lastRenderedPageBreak/>
        <w:t>3. Struktura bečkog stambenog sustava danas</w:t>
      </w:r>
    </w:p>
    <w:p w14:paraId="76527345" w14:textId="77777777" w:rsidR="0087134D" w:rsidRDefault="00915FDC">
      <w:pPr>
        <w:spacing w:before="80" w:after="100"/>
      </w:pPr>
      <w:r>
        <w:rPr>
          <w:color w:val="222222"/>
        </w:rPr>
        <w:t>Bečki stambeni fond kombinira tri ključna sektora:</w:t>
      </w:r>
    </w:p>
    <w:p w14:paraId="541D0AC9" w14:textId="77777777" w:rsidR="0087134D" w:rsidRDefault="0087134D">
      <w:pPr>
        <w:spacing w:before="40" w:after="40"/>
      </w:pPr>
    </w:p>
    <w:p w14:paraId="7933B06F" w14:textId="77777777" w:rsidR="0087134D" w:rsidRDefault="00915FDC">
      <w:pPr>
        <w:pStyle w:val="Odlomakpopisa"/>
        <w:numPr>
          <w:ilvl w:val="0"/>
          <w:numId w:val="2"/>
        </w:numPr>
        <w:spacing w:before="80" w:after="80"/>
      </w:pPr>
      <w:proofErr w:type="spellStart"/>
      <w:r>
        <w:t>Gemeindebau</w:t>
      </w:r>
      <w:proofErr w:type="spellEnd"/>
      <w:r>
        <w:t xml:space="preserve"> (općinski stanovi): ~220.000 stanova, 25% ukupnog fonda – grad ih direktno posjeduje i upravlja njima kroz </w:t>
      </w:r>
      <w:proofErr w:type="spellStart"/>
      <w:r>
        <w:t>Wiener</w:t>
      </w:r>
      <w:proofErr w:type="spellEnd"/>
      <w:r>
        <w:t xml:space="preserve"> </w:t>
      </w:r>
      <w:proofErr w:type="spellStart"/>
      <w:r>
        <w:t>Wohnen</w:t>
      </w:r>
      <w:proofErr w:type="spellEnd"/>
      <w:r>
        <w:t>.</w:t>
      </w:r>
    </w:p>
    <w:p w14:paraId="4F049659" w14:textId="77777777" w:rsidR="0087134D" w:rsidRDefault="00915FDC">
      <w:pPr>
        <w:pStyle w:val="Odlomakpopisa"/>
        <w:numPr>
          <w:ilvl w:val="0"/>
          <w:numId w:val="2"/>
        </w:numPr>
        <w:spacing w:before="80" w:after="80"/>
      </w:pPr>
      <w:r>
        <w:t>Neprofitne stambene zadruge (GBV): ~200.000 stanova, 15% fonda – subvencionirani, ali ne direktno u vlasništvu grada.</w:t>
      </w:r>
    </w:p>
    <w:p w14:paraId="7E08B01E" w14:textId="77777777" w:rsidR="0087134D" w:rsidRDefault="00915FDC">
      <w:pPr>
        <w:pStyle w:val="Odlomakpopisa"/>
        <w:numPr>
          <w:ilvl w:val="0"/>
          <w:numId w:val="2"/>
        </w:numPr>
        <w:spacing w:before="80" w:after="80"/>
      </w:pPr>
      <w:r>
        <w:t>Privatni tržišni najam: ~33% stanova – reguliran Austrijskim zakonom o najmu (</w:t>
      </w:r>
      <w:proofErr w:type="spellStart"/>
      <w:r>
        <w:t>Mietrechtsgesetz</w:t>
      </w:r>
      <w:proofErr w:type="spellEnd"/>
      <w:r>
        <w:t>) koji ograničava povećanja.</w:t>
      </w:r>
    </w:p>
    <w:p w14:paraId="2E595C4C" w14:textId="77777777" w:rsidR="0087134D" w:rsidRDefault="0087134D">
      <w:pPr>
        <w:spacing w:before="40" w:after="40"/>
      </w:pPr>
    </w:p>
    <w:p w14:paraId="35368A94" w14:textId="3CEE1580" w:rsidR="0087134D" w:rsidRDefault="00915FDC">
      <w:pPr>
        <w:spacing w:before="80" w:after="100"/>
      </w:pPr>
      <w:r>
        <w:rPr>
          <w:color w:val="222222"/>
        </w:rPr>
        <w:t>Ukupno: oko 43% bečkih kućanstava živi u subvenc</w:t>
      </w:r>
      <w:r w:rsidR="00A55C0A">
        <w:rPr>
          <w:color w:val="222222"/>
        </w:rPr>
        <w:t>i</w:t>
      </w:r>
      <w:r>
        <w:rPr>
          <w:color w:val="222222"/>
        </w:rPr>
        <w:t>oniranom stanovanju, što je apsolutni europski rekord za grad takve veličine. Socijalnim stanovanjem dostupnim je do čak 80% populacije (uz uvjete prihoda koji nisu posebno restriktivni).</w:t>
      </w:r>
    </w:p>
    <w:p w14:paraId="086F27BC" w14:textId="77777777" w:rsidR="0087134D" w:rsidRDefault="0087134D">
      <w:pPr>
        <w:spacing w:before="40" w:after="40"/>
      </w:pPr>
    </w:p>
    <w:p w14:paraId="2B541437" w14:textId="77777777" w:rsidR="0087134D" w:rsidRDefault="00915FDC">
      <w:pPr>
        <w:spacing w:before="60" w:after="60"/>
      </w:pPr>
      <w:r>
        <w:rPr>
          <w:i/>
          <w:iCs/>
          <w:color w:val="555555"/>
          <w:sz w:val="20"/>
          <w:szCs w:val="20"/>
        </w:rPr>
        <w:t xml:space="preserve">Dijagram 2: Struktura bečkog stambenog fonda prema obliku vlasništva (2024.) (Izvor: </w:t>
      </w:r>
      <w:proofErr w:type="spellStart"/>
      <w:r>
        <w:rPr>
          <w:i/>
          <w:iCs/>
          <w:color w:val="555555"/>
          <w:sz w:val="20"/>
          <w:szCs w:val="20"/>
        </w:rPr>
        <w:t>Stadt</w:t>
      </w:r>
      <w:proofErr w:type="spellEnd"/>
      <w:r>
        <w:rPr>
          <w:i/>
          <w:iCs/>
          <w:color w:val="555555"/>
          <w:sz w:val="20"/>
          <w:szCs w:val="20"/>
        </w:rPr>
        <w:t xml:space="preserve"> </w:t>
      </w:r>
      <w:proofErr w:type="spellStart"/>
      <w:r>
        <w:rPr>
          <w:i/>
          <w:iCs/>
          <w:color w:val="555555"/>
          <w:sz w:val="20"/>
          <w:szCs w:val="20"/>
        </w:rPr>
        <w:t>Wien</w:t>
      </w:r>
      <w:proofErr w:type="spellEnd"/>
      <w:r>
        <w:rPr>
          <w:i/>
          <w:iCs/>
          <w:color w:val="555555"/>
          <w:sz w:val="20"/>
          <w:szCs w:val="20"/>
        </w:rPr>
        <w:t xml:space="preserve">, </w:t>
      </w:r>
      <w:proofErr w:type="spellStart"/>
      <w:r>
        <w:rPr>
          <w:i/>
          <w:iCs/>
          <w:color w:val="555555"/>
          <w:sz w:val="20"/>
          <w:szCs w:val="20"/>
        </w:rPr>
        <w:t>microcensus</w:t>
      </w:r>
      <w:proofErr w:type="spellEnd"/>
      <w:r>
        <w:rPr>
          <w:i/>
          <w:iCs/>
          <w:color w:val="555555"/>
          <w:sz w:val="20"/>
          <w:szCs w:val="20"/>
        </w:rPr>
        <w:t xml:space="preserve"> 2022)</w:t>
      </w:r>
    </w:p>
    <w:p w14:paraId="53984F4E" w14:textId="77777777" w:rsidR="0087134D" w:rsidRDefault="0087134D">
      <w:pPr>
        <w:spacing w:before="40" w:after="40"/>
      </w:pP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5400"/>
        <w:gridCol w:w="1000"/>
      </w:tblGrid>
      <w:tr w:rsidR="0087134D" w14:paraId="1FFD9B05" w14:textId="77777777">
        <w:trPr>
          <w:tblHeader/>
        </w:trPr>
        <w:tc>
          <w:tcPr>
            <w:tcW w:w="88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E4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5274E90" w14:textId="77777777" w:rsidR="0087134D" w:rsidRDefault="00915FDC">
            <w:r>
              <w:rPr>
                <w:b/>
                <w:bCs/>
                <w:color w:val="FFFFFF"/>
              </w:rPr>
              <w:t>Dijagram 2: Struktura stambenog fonda u Beču (2024.)</w:t>
            </w:r>
          </w:p>
        </w:tc>
      </w:tr>
      <w:tr w:rsidR="0087134D" w14:paraId="61DF4608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70" w:type="dxa"/>
              <w:left w:w="120" w:type="dxa"/>
              <w:bottom w:w="70" w:type="dxa"/>
              <w:right w:w="60" w:type="dxa"/>
            </w:tcMar>
          </w:tcPr>
          <w:p w14:paraId="5F30C4D7" w14:textId="77777777" w:rsidR="0087134D" w:rsidRDefault="00915FDC">
            <w:proofErr w:type="spellStart"/>
            <w:r>
              <w:rPr>
                <w:color w:val="222222"/>
                <w:sz w:val="20"/>
                <w:szCs w:val="20"/>
              </w:rPr>
              <w:t>Gemeindebau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(općinski)</w:t>
            </w:r>
          </w:p>
        </w:tc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6CFC4485" w14:textId="77777777" w:rsidR="0087134D" w:rsidRDefault="00915FDC">
            <w:r>
              <w:rPr>
                <w:color w:val="C8372D"/>
              </w:rPr>
              <w:t>████████████████████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70" w:type="dxa"/>
              <w:left w:w="60" w:type="dxa"/>
              <w:bottom w:w="70" w:type="dxa"/>
              <w:right w:w="100" w:type="dxa"/>
            </w:tcMar>
          </w:tcPr>
          <w:p w14:paraId="24DD890C" w14:textId="77777777" w:rsidR="0087134D" w:rsidRDefault="00915FDC">
            <w:pPr>
              <w:jc w:val="right"/>
            </w:pPr>
            <w:r>
              <w:rPr>
                <w:b/>
                <w:bCs/>
                <w:color w:val="1A2E4A"/>
                <w:sz w:val="20"/>
                <w:szCs w:val="20"/>
              </w:rPr>
              <w:t>25%</w:t>
            </w:r>
          </w:p>
        </w:tc>
      </w:tr>
      <w:tr w:rsidR="0087134D" w14:paraId="5C1B1150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60" w:type="dxa"/>
            </w:tcMar>
          </w:tcPr>
          <w:p w14:paraId="4D8E9558" w14:textId="77777777" w:rsidR="0087134D" w:rsidRDefault="00915FDC">
            <w:r>
              <w:rPr>
                <w:color w:val="222222"/>
                <w:sz w:val="20"/>
                <w:szCs w:val="20"/>
              </w:rPr>
              <w:t>Neprofitne zadruge (GBV)</w:t>
            </w:r>
          </w:p>
        </w:tc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72043525" w14:textId="77777777" w:rsidR="0087134D" w:rsidRDefault="00915FDC">
            <w:r>
              <w:rPr>
                <w:color w:val="1A2E4A"/>
              </w:rPr>
              <w:t>████████████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100" w:type="dxa"/>
            </w:tcMar>
          </w:tcPr>
          <w:p w14:paraId="2677C707" w14:textId="77777777" w:rsidR="0087134D" w:rsidRDefault="00915FDC">
            <w:pPr>
              <w:jc w:val="right"/>
            </w:pPr>
            <w:r>
              <w:rPr>
                <w:b/>
                <w:bCs/>
                <w:color w:val="1A2E4A"/>
                <w:sz w:val="20"/>
                <w:szCs w:val="20"/>
              </w:rPr>
              <w:t>15%</w:t>
            </w:r>
          </w:p>
        </w:tc>
      </w:tr>
      <w:tr w:rsidR="0087134D" w14:paraId="3BBDFBC7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70" w:type="dxa"/>
              <w:left w:w="120" w:type="dxa"/>
              <w:bottom w:w="70" w:type="dxa"/>
              <w:right w:w="60" w:type="dxa"/>
            </w:tcMar>
          </w:tcPr>
          <w:p w14:paraId="157405A1" w14:textId="77777777" w:rsidR="0087134D" w:rsidRDefault="00915FDC">
            <w:r>
              <w:rPr>
                <w:color w:val="222222"/>
                <w:sz w:val="20"/>
                <w:szCs w:val="20"/>
              </w:rPr>
              <w:t>Privatni tržišni najam</w:t>
            </w:r>
          </w:p>
        </w:tc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1F08A39E" w14:textId="77777777" w:rsidR="0087134D" w:rsidRDefault="00915FDC">
            <w:r>
              <w:rPr>
                <w:color w:val="E8A020"/>
              </w:rPr>
              <w:t>███████████████████████████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70" w:type="dxa"/>
              <w:left w:w="60" w:type="dxa"/>
              <w:bottom w:w="70" w:type="dxa"/>
              <w:right w:w="100" w:type="dxa"/>
            </w:tcMar>
          </w:tcPr>
          <w:p w14:paraId="2979ABBB" w14:textId="77777777" w:rsidR="0087134D" w:rsidRDefault="00915FDC">
            <w:pPr>
              <w:jc w:val="right"/>
            </w:pPr>
            <w:r>
              <w:rPr>
                <w:b/>
                <w:bCs/>
                <w:color w:val="1A2E4A"/>
                <w:sz w:val="20"/>
                <w:szCs w:val="20"/>
              </w:rPr>
              <w:t>33%</w:t>
            </w:r>
          </w:p>
        </w:tc>
      </w:tr>
      <w:tr w:rsidR="0087134D" w14:paraId="1A916898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60" w:type="dxa"/>
            </w:tcMar>
          </w:tcPr>
          <w:p w14:paraId="0270C8C7" w14:textId="77777777" w:rsidR="0087134D" w:rsidRDefault="00915FDC">
            <w:r>
              <w:rPr>
                <w:color w:val="222222"/>
                <w:sz w:val="20"/>
                <w:szCs w:val="20"/>
              </w:rPr>
              <w:t>Vlasništvo</w:t>
            </w:r>
          </w:p>
        </w:tc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3BD338B5" w14:textId="77777777" w:rsidR="0087134D" w:rsidRDefault="00915FDC">
            <w:r>
              <w:rPr>
                <w:color w:val="5588AA"/>
              </w:rPr>
              <w:t>████████████████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100" w:type="dxa"/>
            </w:tcMar>
          </w:tcPr>
          <w:p w14:paraId="31335D5C" w14:textId="77777777" w:rsidR="0087134D" w:rsidRDefault="00915FDC">
            <w:pPr>
              <w:jc w:val="right"/>
            </w:pPr>
            <w:r>
              <w:rPr>
                <w:b/>
                <w:bCs/>
                <w:color w:val="1A2E4A"/>
                <w:sz w:val="20"/>
                <w:szCs w:val="20"/>
              </w:rPr>
              <w:t>~20%</w:t>
            </w:r>
          </w:p>
        </w:tc>
      </w:tr>
      <w:tr w:rsidR="0087134D" w14:paraId="00B36D52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70" w:type="dxa"/>
              <w:left w:w="120" w:type="dxa"/>
              <w:bottom w:w="70" w:type="dxa"/>
              <w:right w:w="60" w:type="dxa"/>
            </w:tcMar>
          </w:tcPr>
          <w:p w14:paraId="57663E59" w14:textId="77777777" w:rsidR="0087134D" w:rsidRDefault="00915FDC">
            <w:r>
              <w:rPr>
                <w:color w:val="222222"/>
                <w:sz w:val="20"/>
                <w:szCs w:val="20"/>
              </w:rPr>
              <w:t>Ostalo (subvencionirani privatni)</w:t>
            </w:r>
          </w:p>
        </w:tc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0872BFD7" w14:textId="77777777" w:rsidR="0087134D" w:rsidRDefault="00915FDC">
            <w:r>
              <w:rPr>
                <w:color w:val="999999"/>
              </w:rPr>
              <w:t>██████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70" w:type="dxa"/>
              <w:left w:w="60" w:type="dxa"/>
              <w:bottom w:w="70" w:type="dxa"/>
              <w:right w:w="100" w:type="dxa"/>
            </w:tcMar>
          </w:tcPr>
          <w:p w14:paraId="353656F9" w14:textId="77777777" w:rsidR="0087134D" w:rsidRDefault="00915FDC">
            <w:pPr>
              <w:jc w:val="right"/>
            </w:pPr>
            <w:r>
              <w:rPr>
                <w:b/>
                <w:bCs/>
                <w:color w:val="1A2E4A"/>
                <w:sz w:val="20"/>
                <w:szCs w:val="20"/>
              </w:rPr>
              <w:t>~7%</w:t>
            </w:r>
          </w:p>
        </w:tc>
      </w:tr>
      <w:tr w:rsidR="0087134D" w14:paraId="7FD34338" w14:textId="77777777">
        <w:tc>
          <w:tcPr>
            <w:tcW w:w="0" w:type="auto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40" w:type="dxa"/>
              <w:right w:w="160" w:type="dxa"/>
            </w:tcMar>
          </w:tcPr>
          <w:p w14:paraId="7E75949D" w14:textId="77777777" w:rsidR="0087134D" w:rsidRDefault="00915FDC">
            <w:r>
              <w:rPr>
                <w:i/>
                <w:iCs/>
                <w:color w:val="777777"/>
                <w:sz w:val="18"/>
                <w:szCs w:val="18"/>
              </w:rPr>
              <w:t xml:space="preserve">Napomena: </w:t>
            </w:r>
            <w:proofErr w:type="spellStart"/>
            <w:r>
              <w:rPr>
                <w:i/>
                <w:iCs/>
                <w:color w:val="777777"/>
                <w:sz w:val="18"/>
                <w:szCs w:val="18"/>
              </w:rPr>
              <w:t>Microcensus</w:t>
            </w:r>
            <w:proofErr w:type="spellEnd"/>
            <w:r>
              <w:rPr>
                <w:i/>
                <w:iCs/>
                <w:color w:val="777777"/>
                <w:sz w:val="18"/>
                <w:szCs w:val="18"/>
              </w:rPr>
              <w:t xml:space="preserve"> 2022, procjene </w:t>
            </w:r>
            <w:proofErr w:type="spellStart"/>
            <w:r>
              <w:rPr>
                <w:i/>
                <w:iCs/>
                <w:color w:val="777777"/>
                <w:sz w:val="18"/>
                <w:szCs w:val="18"/>
              </w:rPr>
              <w:t>Stadt</w:t>
            </w:r>
            <w:proofErr w:type="spellEnd"/>
            <w:r>
              <w:rPr>
                <w:i/>
                <w:iCs/>
                <w:color w:val="7777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777777"/>
                <w:sz w:val="18"/>
                <w:szCs w:val="18"/>
              </w:rPr>
              <w:t>Wien</w:t>
            </w:r>
            <w:proofErr w:type="spellEnd"/>
            <w:r>
              <w:rPr>
                <w:i/>
                <w:iCs/>
                <w:color w:val="777777"/>
                <w:sz w:val="18"/>
                <w:szCs w:val="18"/>
              </w:rPr>
              <w:t xml:space="preserve">. GBV = </w:t>
            </w:r>
            <w:proofErr w:type="spellStart"/>
            <w:r>
              <w:rPr>
                <w:i/>
                <w:iCs/>
                <w:color w:val="777777"/>
                <w:sz w:val="18"/>
                <w:szCs w:val="18"/>
              </w:rPr>
              <w:t>Gemeinnützige</w:t>
            </w:r>
            <w:proofErr w:type="spellEnd"/>
            <w:r>
              <w:rPr>
                <w:i/>
                <w:iCs/>
                <w:color w:val="7777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777777"/>
                <w:sz w:val="18"/>
                <w:szCs w:val="18"/>
              </w:rPr>
              <w:t>Bauvereinigungen</w:t>
            </w:r>
            <w:proofErr w:type="spellEnd"/>
            <w:r>
              <w:rPr>
                <w:i/>
                <w:iCs/>
                <w:color w:val="777777"/>
                <w:sz w:val="18"/>
                <w:szCs w:val="18"/>
              </w:rPr>
              <w:t>.</w:t>
            </w:r>
          </w:p>
        </w:tc>
      </w:tr>
    </w:tbl>
    <w:p w14:paraId="66C6AE35" w14:textId="77777777" w:rsidR="0087134D" w:rsidRDefault="0087134D">
      <w:pPr>
        <w:spacing w:before="40" w:after="40"/>
      </w:pPr>
    </w:p>
    <w:p w14:paraId="6F1612A0" w14:textId="77777777" w:rsidR="0087134D" w:rsidRDefault="00915FDC">
      <w:pPr>
        <w:pStyle w:val="Naslov2"/>
        <w:pBdr>
          <w:left w:val="single" w:sz="8" w:space="6" w:color="E8A020"/>
        </w:pBdr>
        <w:ind w:left="160"/>
      </w:pPr>
      <w:r>
        <w:t xml:space="preserve">Uvjeti pristupa </w:t>
      </w:r>
      <w:proofErr w:type="spellStart"/>
      <w:r>
        <w:t>Gemeindebau</w:t>
      </w:r>
      <w:proofErr w:type="spellEnd"/>
      <w:r>
        <w:t xml:space="preserve"> stanovima</w:t>
      </w:r>
    </w:p>
    <w:p w14:paraId="3CD56921" w14:textId="77777777" w:rsidR="0087134D" w:rsidRDefault="00915FDC" w:rsidP="00473509">
      <w:pPr>
        <w:spacing w:before="80" w:after="100"/>
      </w:pPr>
      <w:r>
        <w:rPr>
          <w:color w:val="222222"/>
        </w:rPr>
        <w:t>Za prijavu na općinski stan u Beču potrebno je: minimalno 2 godine registriranog boravišta u Beču, ispunjenje jednog od 7 potrebnih kriterija (prenaseljenost, zdravstveni razlozi, nisko primanje itd.) i bečko državljanstvo ili EU status. Nema fiksnih ugovora, nema premija za lokaciju, nema predujmova – stanari plaćaju samo reguliranu najamninu koja pokriva troškove.</w:t>
      </w:r>
    </w:p>
    <w:p w14:paraId="622EEB22" w14:textId="77777777" w:rsidR="00473509" w:rsidRDefault="00473509" w:rsidP="00473509">
      <w:pPr>
        <w:spacing w:before="80" w:after="100"/>
      </w:pPr>
    </w:p>
    <w:p w14:paraId="3CFF5084" w14:textId="77777777" w:rsidR="0087134D" w:rsidRDefault="00915FDC">
      <w:pPr>
        <w:pStyle w:val="Naslov1"/>
        <w:pBdr>
          <w:left w:val="thick" w:sz="18" w:space="8" w:color="C8372D"/>
        </w:pBdr>
        <w:ind w:left="200"/>
      </w:pPr>
      <w:r>
        <w:t>4. Cijene najma: trendovi i pritisci</w:t>
      </w:r>
    </w:p>
    <w:p w14:paraId="29C0B7A3" w14:textId="77777777" w:rsidR="0087134D" w:rsidRDefault="00915FDC">
      <w:pPr>
        <w:spacing w:before="80" w:after="100"/>
      </w:pPr>
      <w:r>
        <w:rPr>
          <w:color w:val="222222"/>
        </w:rPr>
        <w:t>Unatoč enormnoj ponudi socijalnog stanovanja, Beč nije imun na stambene pritiske. Od 2019. privatni tržišni najam ubrzano raste, pogonjen kombinacijom urbanog rasta, inflacije i pada novih gradnji.</w:t>
      </w:r>
    </w:p>
    <w:p w14:paraId="6151C054" w14:textId="77777777" w:rsidR="0087134D" w:rsidRDefault="0087134D">
      <w:pPr>
        <w:spacing w:before="40" w:after="40"/>
      </w:pPr>
    </w:p>
    <w:p w14:paraId="184C47BC" w14:textId="77777777" w:rsidR="0087134D" w:rsidRDefault="00915FDC">
      <w:pPr>
        <w:spacing w:before="80" w:after="100"/>
      </w:pPr>
      <w:r>
        <w:rPr>
          <w:color w:val="222222"/>
        </w:rPr>
        <w:t>Ključni podaci (</w:t>
      </w:r>
      <w:proofErr w:type="spellStart"/>
      <w:r>
        <w:rPr>
          <w:color w:val="222222"/>
        </w:rPr>
        <w:t>Statistics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Austria</w:t>
      </w:r>
      <w:proofErr w:type="spellEnd"/>
      <w:r>
        <w:rPr>
          <w:color w:val="222222"/>
        </w:rPr>
        <w:t xml:space="preserve"> / </w:t>
      </w:r>
      <w:proofErr w:type="spellStart"/>
      <w:r>
        <w:rPr>
          <w:color w:val="222222"/>
        </w:rPr>
        <w:t>Rustler</w:t>
      </w:r>
      <w:proofErr w:type="spellEnd"/>
      <w:r>
        <w:rPr>
          <w:color w:val="222222"/>
        </w:rPr>
        <w:t xml:space="preserve"> / </w:t>
      </w:r>
      <w:proofErr w:type="spellStart"/>
      <w:r>
        <w:rPr>
          <w:color w:val="222222"/>
        </w:rPr>
        <w:t>Engel</w:t>
      </w:r>
      <w:proofErr w:type="spellEnd"/>
      <w:r>
        <w:rPr>
          <w:color w:val="222222"/>
        </w:rPr>
        <w:t xml:space="preserve"> &amp; </w:t>
      </w:r>
      <w:proofErr w:type="spellStart"/>
      <w:r>
        <w:rPr>
          <w:color w:val="222222"/>
        </w:rPr>
        <w:t>Völkers</w:t>
      </w:r>
      <w:proofErr w:type="spellEnd"/>
      <w:r>
        <w:rPr>
          <w:color w:val="222222"/>
        </w:rPr>
        <w:t>):</w:t>
      </w:r>
    </w:p>
    <w:p w14:paraId="4168BC62" w14:textId="77777777" w:rsidR="0087134D" w:rsidRDefault="0087134D">
      <w:pPr>
        <w:spacing w:before="40" w:after="40"/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2720"/>
        <w:gridCol w:w="2720"/>
      </w:tblGrid>
      <w:tr w:rsidR="0087134D" w14:paraId="04E31824" w14:textId="77777777">
        <w:trPr>
          <w:tblHeader/>
        </w:trPr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2E4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0FC135" w14:textId="77777777" w:rsidR="0087134D" w:rsidRDefault="00915FDC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Pokazatelj</w:t>
            </w:r>
          </w:p>
        </w:tc>
        <w:tc>
          <w:tcPr>
            <w:tcW w:w="2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2E4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7404A3" w14:textId="77777777" w:rsidR="0087134D" w:rsidRDefault="00915FDC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Vrijednost / Trend</w:t>
            </w:r>
          </w:p>
        </w:tc>
        <w:tc>
          <w:tcPr>
            <w:tcW w:w="2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2E4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E2E11D" w14:textId="77777777" w:rsidR="0087134D" w:rsidRDefault="00915FDC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Izvor</w:t>
            </w:r>
          </w:p>
        </w:tc>
      </w:tr>
      <w:tr w:rsidR="0087134D" w14:paraId="20FF5503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721C145" w14:textId="77777777" w:rsidR="0087134D" w:rsidRDefault="00915FDC">
            <w:proofErr w:type="spellStart"/>
            <w:r>
              <w:rPr>
                <w:color w:val="222222"/>
                <w:sz w:val="20"/>
                <w:szCs w:val="20"/>
              </w:rPr>
              <w:t>Prosj</w:t>
            </w:r>
            <w:proofErr w:type="spellEnd"/>
            <w:r>
              <w:rPr>
                <w:color w:val="222222"/>
                <w:sz w:val="20"/>
                <w:szCs w:val="20"/>
              </w:rPr>
              <w:t>. najamnina (</w:t>
            </w:r>
            <w:proofErr w:type="spellStart"/>
            <w:r>
              <w:rPr>
                <w:color w:val="222222"/>
                <w:sz w:val="20"/>
                <w:szCs w:val="20"/>
              </w:rPr>
              <w:t>uklj</w:t>
            </w:r>
            <w:proofErr w:type="spellEnd"/>
            <w:r>
              <w:rPr>
                <w:color w:val="222222"/>
                <w:sz w:val="20"/>
                <w:szCs w:val="20"/>
              </w:rPr>
              <w:t>. troškove), Q3 2024.</w:t>
            </w:r>
          </w:p>
        </w:tc>
        <w:tc>
          <w:tcPr>
            <w:tcW w:w="2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50043A5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€9,9/m²/mj. (+4,2% god.)</w:t>
            </w:r>
          </w:p>
        </w:tc>
        <w:tc>
          <w:tcPr>
            <w:tcW w:w="2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62FC0AB" w14:textId="77777777" w:rsidR="0087134D" w:rsidRDefault="00915FDC">
            <w:pPr>
              <w:jc w:val="center"/>
            </w:pPr>
            <w:proofErr w:type="spellStart"/>
            <w:r>
              <w:rPr>
                <w:color w:val="222222"/>
                <w:sz w:val="20"/>
                <w:szCs w:val="20"/>
              </w:rPr>
              <w:t>Statistics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Austria</w:t>
            </w:r>
            <w:proofErr w:type="spellEnd"/>
          </w:p>
        </w:tc>
      </w:tr>
      <w:tr w:rsidR="0087134D" w14:paraId="63944EBD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6D1559" w14:textId="77777777" w:rsidR="0087134D" w:rsidRDefault="00915FDC">
            <w:proofErr w:type="spellStart"/>
            <w:r>
              <w:rPr>
                <w:color w:val="222222"/>
                <w:sz w:val="20"/>
                <w:szCs w:val="20"/>
              </w:rPr>
              <w:lastRenderedPageBreak/>
              <w:t>Prosj</w:t>
            </w:r>
            <w:proofErr w:type="spellEnd"/>
            <w:r>
              <w:rPr>
                <w:color w:val="222222"/>
                <w:sz w:val="20"/>
                <w:szCs w:val="20"/>
              </w:rPr>
              <w:t>. neto najamnina, Q3 2024.</w:t>
            </w:r>
          </w:p>
        </w:tc>
        <w:tc>
          <w:tcPr>
            <w:tcW w:w="2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9D8FF8D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€7,4/m²/mj.</w:t>
            </w:r>
          </w:p>
        </w:tc>
        <w:tc>
          <w:tcPr>
            <w:tcW w:w="2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4D0A69A" w14:textId="77777777" w:rsidR="0087134D" w:rsidRDefault="00915FDC">
            <w:pPr>
              <w:jc w:val="center"/>
            </w:pPr>
            <w:proofErr w:type="spellStart"/>
            <w:r>
              <w:rPr>
                <w:color w:val="222222"/>
                <w:sz w:val="20"/>
                <w:szCs w:val="20"/>
              </w:rPr>
              <w:t>Statistics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Austria</w:t>
            </w:r>
            <w:proofErr w:type="spellEnd"/>
          </w:p>
        </w:tc>
      </w:tr>
      <w:tr w:rsidR="0087134D" w14:paraId="52FBD53A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B9D9EF9" w14:textId="77777777" w:rsidR="0087134D" w:rsidRDefault="00915FDC">
            <w:r>
              <w:rPr>
                <w:color w:val="222222"/>
                <w:sz w:val="20"/>
                <w:szCs w:val="20"/>
              </w:rPr>
              <w:t>Novoizgrađeni stan u zoni I. distrikta</w:t>
            </w:r>
          </w:p>
        </w:tc>
        <w:tc>
          <w:tcPr>
            <w:tcW w:w="2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8E88906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do €23,30/m²/mj.</w:t>
            </w:r>
          </w:p>
        </w:tc>
        <w:tc>
          <w:tcPr>
            <w:tcW w:w="2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BDDB1D4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 xml:space="preserve">OTTO </w:t>
            </w:r>
            <w:proofErr w:type="spellStart"/>
            <w:r>
              <w:rPr>
                <w:color w:val="222222"/>
                <w:sz w:val="20"/>
                <w:szCs w:val="20"/>
              </w:rPr>
              <w:t>Immobilien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2024</w:t>
            </w:r>
          </w:p>
        </w:tc>
      </w:tr>
      <w:tr w:rsidR="0087134D" w14:paraId="5B06E80E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2FE94A" w14:textId="77777777" w:rsidR="0087134D" w:rsidRDefault="00915FDC">
            <w:r>
              <w:rPr>
                <w:color w:val="222222"/>
                <w:sz w:val="20"/>
                <w:szCs w:val="20"/>
              </w:rPr>
              <w:t>Najjeftiniji distrikt (novi ugovori)</w:t>
            </w:r>
          </w:p>
        </w:tc>
        <w:tc>
          <w:tcPr>
            <w:tcW w:w="2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3157FD8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€13,97/m²/mj. (11. distrikt)</w:t>
            </w:r>
          </w:p>
        </w:tc>
        <w:tc>
          <w:tcPr>
            <w:tcW w:w="2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D651A5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 xml:space="preserve">OTTO </w:t>
            </w:r>
            <w:proofErr w:type="spellStart"/>
            <w:r>
              <w:rPr>
                <w:color w:val="222222"/>
                <w:sz w:val="20"/>
                <w:szCs w:val="20"/>
              </w:rPr>
              <w:t>Immobilien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2024</w:t>
            </w:r>
          </w:p>
        </w:tc>
      </w:tr>
      <w:tr w:rsidR="0087134D" w14:paraId="7406CA35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013502" w14:textId="77777777" w:rsidR="0087134D" w:rsidRDefault="00915FDC">
            <w:r>
              <w:rPr>
                <w:color w:val="222222"/>
                <w:sz w:val="20"/>
                <w:szCs w:val="20"/>
              </w:rPr>
              <w:t>Rast najamnina 2024. (privatni tržišni)</w:t>
            </w:r>
          </w:p>
        </w:tc>
        <w:tc>
          <w:tcPr>
            <w:tcW w:w="2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5B51FC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+13% vs prethodna god.</w:t>
            </w:r>
          </w:p>
        </w:tc>
        <w:tc>
          <w:tcPr>
            <w:tcW w:w="2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651C98" w14:textId="77777777" w:rsidR="0087134D" w:rsidRDefault="00915FDC">
            <w:pPr>
              <w:jc w:val="center"/>
            </w:pPr>
            <w:proofErr w:type="spellStart"/>
            <w:r>
              <w:rPr>
                <w:color w:val="222222"/>
                <w:sz w:val="20"/>
                <w:szCs w:val="20"/>
              </w:rPr>
              <w:t>Rustler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2025</w:t>
            </w:r>
          </w:p>
        </w:tc>
      </w:tr>
      <w:tr w:rsidR="0087134D" w14:paraId="2BE2C8EC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884F09" w14:textId="77777777" w:rsidR="0087134D" w:rsidRDefault="00915FDC">
            <w:r>
              <w:rPr>
                <w:color w:val="222222"/>
                <w:sz w:val="20"/>
                <w:szCs w:val="20"/>
              </w:rPr>
              <w:t>Rast cijena najma 2010.–2024.</w:t>
            </w:r>
          </w:p>
        </w:tc>
        <w:tc>
          <w:tcPr>
            <w:tcW w:w="2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F4CE8CE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+70% (EU prosjek: znatno manje)</w:t>
            </w:r>
          </w:p>
        </w:tc>
        <w:tc>
          <w:tcPr>
            <w:tcW w:w="2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48C0D31" w14:textId="77777777" w:rsidR="0087134D" w:rsidRDefault="00915FDC">
            <w:pPr>
              <w:jc w:val="center"/>
            </w:pPr>
            <w:proofErr w:type="spellStart"/>
            <w:r>
              <w:rPr>
                <w:color w:val="222222"/>
                <w:sz w:val="20"/>
                <w:szCs w:val="20"/>
              </w:rPr>
              <w:t>Statistics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Austria</w:t>
            </w:r>
            <w:proofErr w:type="spellEnd"/>
          </w:p>
        </w:tc>
      </w:tr>
      <w:tr w:rsidR="0087134D" w14:paraId="20C3468B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642E173" w14:textId="77777777" w:rsidR="0087134D" w:rsidRDefault="00915FDC">
            <w:r>
              <w:rPr>
                <w:color w:val="222222"/>
                <w:sz w:val="20"/>
                <w:szCs w:val="20"/>
              </w:rPr>
              <w:t>Rast plaća 2010.–2024.</w:t>
            </w:r>
          </w:p>
        </w:tc>
        <w:tc>
          <w:tcPr>
            <w:tcW w:w="2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CFB8D7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~+40%</w:t>
            </w:r>
          </w:p>
        </w:tc>
        <w:tc>
          <w:tcPr>
            <w:tcW w:w="2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1F2F58F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 xml:space="preserve">procjena, </w:t>
            </w:r>
            <w:proofErr w:type="spellStart"/>
            <w:r>
              <w:rPr>
                <w:color w:val="222222"/>
                <w:sz w:val="20"/>
                <w:szCs w:val="20"/>
              </w:rPr>
              <w:t>Eurostat</w:t>
            </w:r>
            <w:proofErr w:type="spellEnd"/>
          </w:p>
        </w:tc>
      </w:tr>
    </w:tbl>
    <w:p w14:paraId="7E7602EE" w14:textId="77777777" w:rsidR="0087134D" w:rsidRDefault="0087134D">
      <w:pPr>
        <w:spacing w:before="40" w:after="40"/>
      </w:pPr>
    </w:p>
    <w:p w14:paraId="105B6CC2" w14:textId="77777777" w:rsidR="0087134D" w:rsidRDefault="00915FDC">
      <w:pPr>
        <w:spacing w:before="60" w:after="60"/>
      </w:pPr>
      <w:r>
        <w:rPr>
          <w:i/>
          <w:iCs/>
          <w:color w:val="555555"/>
          <w:sz w:val="20"/>
          <w:szCs w:val="20"/>
        </w:rPr>
        <w:t xml:space="preserve">Tablica 1: Ključni pokazatelji tržišta najma u Beču 2024. (Izvor: </w:t>
      </w:r>
      <w:proofErr w:type="spellStart"/>
      <w:r>
        <w:rPr>
          <w:i/>
          <w:iCs/>
          <w:color w:val="555555"/>
          <w:sz w:val="20"/>
          <w:szCs w:val="20"/>
        </w:rPr>
        <w:t>Statistics</w:t>
      </w:r>
      <w:proofErr w:type="spellEnd"/>
      <w:r>
        <w:rPr>
          <w:i/>
          <w:iCs/>
          <w:color w:val="555555"/>
          <w:sz w:val="20"/>
          <w:szCs w:val="20"/>
        </w:rPr>
        <w:t xml:space="preserve"> </w:t>
      </w:r>
      <w:proofErr w:type="spellStart"/>
      <w:r>
        <w:rPr>
          <w:i/>
          <w:iCs/>
          <w:color w:val="555555"/>
          <w:sz w:val="20"/>
          <w:szCs w:val="20"/>
        </w:rPr>
        <w:t>Austria</w:t>
      </w:r>
      <w:proofErr w:type="spellEnd"/>
      <w:r>
        <w:rPr>
          <w:i/>
          <w:iCs/>
          <w:color w:val="555555"/>
          <w:sz w:val="20"/>
          <w:szCs w:val="20"/>
        </w:rPr>
        <w:t xml:space="preserve">, OTTO </w:t>
      </w:r>
      <w:proofErr w:type="spellStart"/>
      <w:r>
        <w:rPr>
          <w:i/>
          <w:iCs/>
          <w:color w:val="555555"/>
          <w:sz w:val="20"/>
          <w:szCs w:val="20"/>
        </w:rPr>
        <w:t>Immobilien</w:t>
      </w:r>
      <w:proofErr w:type="spellEnd"/>
      <w:r>
        <w:rPr>
          <w:i/>
          <w:iCs/>
          <w:color w:val="555555"/>
          <w:sz w:val="20"/>
          <w:szCs w:val="20"/>
        </w:rPr>
        <w:t xml:space="preserve">, </w:t>
      </w:r>
      <w:proofErr w:type="spellStart"/>
      <w:r>
        <w:rPr>
          <w:i/>
          <w:iCs/>
          <w:color w:val="555555"/>
          <w:sz w:val="20"/>
          <w:szCs w:val="20"/>
        </w:rPr>
        <w:t>Rustler</w:t>
      </w:r>
      <w:proofErr w:type="spellEnd"/>
      <w:r>
        <w:rPr>
          <w:i/>
          <w:iCs/>
          <w:color w:val="555555"/>
          <w:sz w:val="20"/>
          <w:szCs w:val="20"/>
        </w:rPr>
        <w:t>)</w:t>
      </w:r>
    </w:p>
    <w:p w14:paraId="1E68118A" w14:textId="77777777" w:rsidR="0087134D" w:rsidRDefault="0087134D">
      <w:pPr>
        <w:spacing w:before="40" w:after="40"/>
      </w:pPr>
    </w:p>
    <w:p w14:paraId="0B0E08CC" w14:textId="34743B00" w:rsidR="008247F3" w:rsidRDefault="00915FDC" w:rsidP="008247F3">
      <w:r>
        <w:rPr>
          <w:color w:val="222222"/>
        </w:rPr>
        <w:t>Posebno je zabrinjavajući jaz između rasta najamnina (+70% od 2010.) i rasta plaća (~+40%). To znači da se dostupnost stanovanja pogoršava i u gradu</w:t>
      </w:r>
      <w:r w:rsidR="008247F3">
        <w:rPr>
          <w:color w:val="222222"/>
        </w:rPr>
        <w:t>,</w:t>
      </w:r>
      <w:r>
        <w:rPr>
          <w:color w:val="222222"/>
        </w:rPr>
        <w:t xml:space="preserve"> </w:t>
      </w:r>
      <w:r w:rsidR="008247F3">
        <w:rPr>
          <w:sz w:val="20"/>
          <w:szCs w:val="20"/>
        </w:rPr>
        <w:t>čiji je sustav proglašen najboljim na svijetu</w:t>
      </w:r>
    </w:p>
    <w:p w14:paraId="1975A46A" w14:textId="264DA05E" w:rsidR="0087134D" w:rsidRDefault="0087134D">
      <w:pPr>
        <w:spacing w:before="80" w:after="100"/>
      </w:pPr>
    </w:p>
    <w:p w14:paraId="513142B6" w14:textId="77777777" w:rsidR="0087134D" w:rsidRDefault="0087134D">
      <w:pPr>
        <w:spacing w:before="40" w:after="40"/>
      </w:pPr>
    </w:p>
    <w:p w14:paraId="69D90F8A" w14:textId="77777777" w:rsidR="0087134D" w:rsidRDefault="00915FDC">
      <w:pPr>
        <w:spacing w:before="60" w:after="60"/>
      </w:pPr>
      <w:r>
        <w:rPr>
          <w:i/>
          <w:iCs/>
          <w:color w:val="555555"/>
          <w:sz w:val="20"/>
          <w:szCs w:val="20"/>
        </w:rPr>
        <w:t xml:space="preserve">Dijagram 3: Indeks prosječnih najamnina u Beču prema segmentu, 2019.–2024. (Izvor: </w:t>
      </w:r>
      <w:proofErr w:type="spellStart"/>
      <w:r>
        <w:rPr>
          <w:i/>
          <w:iCs/>
          <w:color w:val="555555"/>
          <w:sz w:val="20"/>
          <w:szCs w:val="20"/>
        </w:rPr>
        <w:t>Statistics</w:t>
      </w:r>
      <w:proofErr w:type="spellEnd"/>
      <w:r>
        <w:rPr>
          <w:i/>
          <w:iCs/>
          <w:color w:val="555555"/>
          <w:sz w:val="20"/>
          <w:szCs w:val="20"/>
        </w:rPr>
        <w:t xml:space="preserve"> </w:t>
      </w:r>
      <w:proofErr w:type="spellStart"/>
      <w:r>
        <w:rPr>
          <w:i/>
          <w:iCs/>
          <w:color w:val="555555"/>
          <w:sz w:val="20"/>
          <w:szCs w:val="20"/>
        </w:rPr>
        <w:t>Austria</w:t>
      </w:r>
      <w:proofErr w:type="spellEnd"/>
      <w:r>
        <w:rPr>
          <w:i/>
          <w:iCs/>
          <w:color w:val="555555"/>
          <w:sz w:val="20"/>
          <w:szCs w:val="20"/>
        </w:rPr>
        <w:t>)</w:t>
      </w:r>
    </w:p>
    <w:p w14:paraId="47360FA7" w14:textId="77777777" w:rsidR="0087134D" w:rsidRDefault="0087134D">
      <w:pPr>
        <w:spacing w:before="40" w:after="40"/>
      </w:pP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3"/>
        <w:gridCol w:w="5398"/>
        <w:gridCol w:w="1009"/>
      </w:tblGrid>
      <w:tr w:rsidR="0087134D" w14:paraId="1A319934" w14:textId="77777777">
        <w:trPr>
          <w:tblHeader/>
        </w:trPr>
        <w:tc>
          <w:tcPr>
            <w:tcW w:w="88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E4A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0035070" w14:textId="77777777" w:rsidR="0087134D" w:rsidRDefault="00915FDC">
            <w:r>
              <w:rPr>
                <w:b/>
                <w:bCs/>
                <w:color w:val="FFFFFF"/>
              </w:rPr>
              <w:t xml:space="preserve">Dijagram 3: </w:t>
            </w:r>
            <w:commentRangeStart w:id="0"/>
            <w:r>
              <w:rPr>
                <w:b/>
                <w:bCs/>
                <w:color w:val="FFFFFF"/>
              </w:rPr>
              <w:t xml:space="preserve">Rast </w:t>
            </w:r>
            <w:commentRangeEnd w:id="0"/>
            <w:r w:rsidR="00A55C0A">
              <w:rPr>
                <w:rStyle w:val="Referencakomentara"/>
                <w:b/>
                <w:bCs/>
                <w:color w:val="FFFFFF"/>
                <w:sz w:val="22"/>
                <w:szCs w:val="22"/>
              </w:rPr>
              <w:commentReference w:id="0"/>
            </w:r>
            <w:r>
              <w:rPr>
                <w:b/>
                <w:bCs/>
                <w:color w:val="FFFFFF"/>
              </w:rPr>
              <w:t>najamnina po distriktu – odabrani primjeri (€/m², 2024.)</w:t>
            </w:r>
          </w:p>
        </w:tc>
      </w:tr>
      <w:tr w:rsidR="0087134D" w14:paraId="130DC898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70" w:type="dxa"/>
              <w:left w:w="120" w:type="dxa"/>
              <w:bottom w:w="70" w:type="dxa"/>
              <w:right w:w="60" w:type="dxa"/>
            </w:tcMar>
          </w:tcPr>
          <w:p w14:paraId="7BCF226D" w14:textId="77777777" w:rsidR="0087134D" w:rsidRDefault="00915FDC">
            <w:r>
              <w:rPr>
                <w:color w:val="222222"/>
                <w:sz w:val="20"/>
                <w:szCs w:val="20"/>
              </w:rPr>
              <w:t>I. distrikt (</w:t>
            </w:r>
            <w:proofErr w:type="spellStart"/>
            <w:r>
              <w:rPr>
                <w:color w:val="222222"/>
                <w:sz w:val="20"/>
                <w:szCs w:val="20"/>
              </w:rPr>
              <w:t>Innere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Stadt</w:t>
            </w:r>
            <w:proofErr w:type="spellEnd"/>
            <w:r>
              <w:rPr>
                <w:color w:val="222222"/>
                <w:sz w:val="20"/>
                <w:szCs w:val="20"/>
              </w:rPr>
              <w:t>)</w:t>
            </w:r>
          </w:p>
        </w:tc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5468A2AB" w14:textId="77777777" w:rsidR="0087134D" w:rsidRDefault="00915FDC">
            <w:r>
              <w:rPr>
                <w:color w:val="C8372D"/>
              </w:rPr>
              <w:t>███████████████████████████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70" w:type="dxa"/>
              <w:left w:w="60" w:type="dxa"/>
              <w:bottom w:w="70" w:type="dxa"/>
              <w:right w:w="100" w:type="dxa"/>
            </w:tcMar>
          </w:tcPr>
          <w:p w14:paraId="4D355BC1" w14:textId="77777777" w:rsidR="0087134D" w:rsidRDefault="00915FDC">
            <w:pPr>
              <w:jc w:val="right"/>
            </w:pPr>
            <w:r>
              <w:rPr>
                <w:b/>
                <w:bCs/>
                <w:color w:val="1A2E4A"/>
                <w:sz w:val="20"/>
                <w:szCs w:val="20"/>
              </w:rPr>
              <w:t>€23,1/m²</w:t>
            </w:r>
          </w:p>
        </w:tc>
      </w:tr>
      <w:tr w:rsidR="0087134D" w14:paraId="72228604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60" w:type="dxa"/>
            </w:tcMar>
          </w:tcPr>
          <w:p w14:paraId="12D51BA8" w14:textId="77777777" w:rsidR="0087134D" w:rsidRDefault="00915FDC">
            <w:r>
              <w:rPr>
                <w:color w:val="222222"/>
                <w:sz w:val="20"/>
                <w:szCs w:val="20"/>
              </w:rPr>
              <w:t>IX. distrikt (</w:t>
            </w:r>
            <w:proofErr w:type="spellStart"/>
            <w:r>
              <w:rPr>
                <w:color w:val="222222"/>
                <w:sz w:val="20"/>
                <w:szCs w:val="20"/>
              </w:rPr>
              <w:t>Alsergrund</w:t>
            </w:r>
            <w:proofErr w:type="spellEnd"/>
            <w:r>
              <w:rPr>
                <w:color w:val="222222"/>
                <w:sz w:val="20"/>
                <w:szCs w:val="20"/>
              </w:rPr>
              <w:t>)</w:t>
            </w:r>
          </w:p>
        </w:tc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1492A47F" w14:textId="77777777" w:rsidR="0087134D" w:rsidRDefault="00915FDC">
            <w:r>
              <w:rPr>
                <w:color w:val="1A2E4A"/>
              </w:rPr>
              <w:t>███████████████████████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100" w:type="dxa"/>
            </w:tcMar>
          </w:tcPr>
          <w:p w14:paraId="58BD52E8" w14:textId="77777777" w:rsidR="0087134D" w:rsidRDefault="00915FDC">
            <w:pPr>
              <w:jc w:val="right"/>
            </w:pPr>
            <w:r>
              <w:rPr>
                <w:b/>
                <w:bCs/>
                <w:color w:val="1A2E4A"/>
                <w:sz w:val="20"/>
                <w:szCs w:val="20"/>
              </w:rPr>
              <w:t>€19,3/m²</w:t>
            </w:r>
          </w:p>
        </w:tc>
      </w:tr>
      <w:tr w:rsidR="0087134D" w14:paraId="64A5DF20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70" w:type="dxa"/>
              <w:left w:w="120" w:type="dxa"/>
              <w:bottom w:w="70" w:type="dxa"/>
              <w:right w:w="60" w:type="dxa"/>
            </w:tcMar>
          </w:tcPr>
          <w:p w14:paraId="317C2B55" w14:textId="77777777" w:rsidR="0087134D" w:rsidRDefault="00915FDC">
            <w:r>
              <w:rPr>
                <w:color w:val="222222"/>
                <w:sz w:val="20"/>
                <w:szCs w:val="20"/>
              </w:rPr>
              <w:t>XVI. distrikt (</w:t>
            </w:r>
            <w:proofErr w:type="spellStart"/>
            <w:r>
              <w:rPr>
                <w:color w:val="222222"/>
                <w:sz w:val="20"/>
                <w:szCs w:val="20"/>
              </w:rPr>
              <w:t>Ottakring</w:t>
            </w:r>
            <w:proofErr w:type="spellEnd"/>
            <w:r>
              <w:rPr>
                <w:color w:val="222222"/>
                <w:sz w:val="20"/>
                <w:szCs w:val="20"/>
              </w:rPr>
              <w:t>)</w:t>
            </w:r>
          </w:p>
        </w:tc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03973AAB" w14:textId="77777777" w:rsidR="0087134D" w:rsidRDefault="00915FDC">
            <w:r>
              <w:rPr>
                <w:color w:val="E8A020"/>
              </w:rPr>
              <w:t>████████████████████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70" w:type="dxa"/>
              <w:left w:w="60" w:type="dxa"/>
              <w:bottom w:w="70" w:type="dxa"/>
              <w:right w:w="100" w:type="dxa"/>
            </w:tcMar>
          </w:tcPr>
          <w:p w14:paraId="5BB25CFB" w14:textId="77777777" w:rsidR="0087134D" w:rsidRDefault="00915FDC">
            <w:pPr>
              <w:jc w:val="right"/>
            </w:pPr>
            <w:r>
              <w:rPr>
                <w:b/>
                <w:bCs/>
                <w:color w:val="1A2E4A"/>
                <w:sz w:val="20"/>
                <w:szCs w:val="20"/>
              </w:rPr>
              <w:t>€16,8/m²</w:t>
            </w:r>
          </w:p>
        </w:tc>
      </w:tr>
      <w:tr w:rsidR="0087134D" w14:paraId="252E5169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60" w:type="dxa"/>
            </w:tcMar>
          </w:tcPr>
          <w:p w14:paraId="4A6DB593" w14:textId="77777777" w:rsidR="0087134D" w:rsidRDefault="00915FDC">
            <w:r>
              <w:rPr>
                <w:color w:val="222222"/>
                <w:sz w:val="20"/>
                <w:szCs w:val="20"/>
              </w:rPr>
              <w:t>XIV. distrikt (</w:t>
            </w:r>
            <w:proofErr w:type="spellStart"/>
            <w:r>
              <w:rPr>
                <w:color w:val="222222"/>
                <w:sz w:val="20"/>
                <w:szCs w:val="20"/>
              </w:rPr>
              <w:t>Penzing</w:t>
            </w:r>
            <w:proofErr w:type="spellEnd"/>
            <w:r>
              <w:rPr>
                <w:color w:val="222222"/>
                <w:sz w:val="20"/>
                <w:szCs w:val="20"/>
              </w:rPr>
              <w:t>)</w:t>
            </w:r>
          </w:p>
        </w:tc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6DDBB845" w14:textId="77777777" w:rsidR="0087134D" w:rsidRDefault="00915FDC">
            <w:r>
              <w:rPr>
                <w:color w:val="5588AA"/>
              </w:rPr>
              <w:t>██████████████████████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70" w:type="dxa"/>
              <w:left w:w="60" w:type="dxa"/>
              <w:bottom w:w="70" w:type="dxa"/>
              <w:right w:w="100" w:type="dxa"/>
            </w:tcMar>
          </w:tcPr>
          <w:p w14:paraId="2139102D" w14:textId="77777777" w:rsidR="0087134D" w:rsidRDefault="00915FDC">
            <w:pPr>
              <w:jc w:val="right"/>
            </w:pPr>
            <w:r>
              <w:rPr>
                <w:b/>
                <w:bCs/>
                <w:color w:val="1A2E4A"/>
                <w:sz w:val="20"/>
                <w:szCs w:val="20"/>
              </w:rPr>
              <w:t>€19,1/m²</w:t>
            </w:r>
          </w:p>
        </w:tc>
      </w:tr>
      <w:tr w:rsidR="0087134D" w14:paraId="6625CD95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70" w:type="dxa"/>
              <w:left w:w="120" w:type="dxa"/>
              <w:bottom w:w="70" w:type="dxa"/>
              <w:right w:w="60" w:type="dxa"/>
            </w:tcMar>
          </w:tcPr>
          <w:p w14:paraId="7CF5F26C" w14:textId="77777777" w:rsidR="0087134D" w:rsidRDefault="00915FDC">
            <w:r>
              <w:rPr>
                <w:color w:val="222222"/>
                <w:sz w:val="20"/>
                <w:szCs w:val="20"/>
              </w:rPr>
              <w:t>XI. distrikt (</w:t>
            </w:r>
            <w:proofErr w:type="spellStart"/>
            <w:r>
              <w:rPr>
                <w:color w:val="222222"/>
                <w:sz w:val="20"/>
                <w:szCs w:val="20"/>
              </w:rPr>
              <w:t>Simmering</w:t>
            </w:r>
            <w:proofErr w:type="spellEnd"/>
            <w:r>
              <w:rPr>
                <w:color w:val="222222"/>
                <w:sz w:val="20"/>
                <w:szCs w:val="20"/>
              </w:rPr>
              <w:t>)</w:t>
            </w:r>
          </w:p>
        </w:tc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70" w:type="dxa"/>
              <w:left w:w="60" w:type="dxa"/>
              <w:bottom w:w="70" w:type="dxa"/>
              <w:right w:w="60" w:type="dxa"/>
            </w:tcMar>
          </w:tcPr>
          <w:p w14:paraId="02620BCE" w14:textId="77777777" w:rsidR="0087134D" w:rsidRDefault="00915FDC">
            <w:r>
              <w:rPr>
                <w:color w:val="999999"/>
              </w:rPr>
              <w:t>████████████████</w:t>
            </w: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6"/>
            <w:tcMar>
              <w:top w:w="70" w:type="dxa"/>
              <w:left w:w="60" w:type="dxa"/>
              <w:bottom w:w="70" w:type="dxa"/>
              <w:right w:w="100" w:type="dxa"/>
            </w:tcMar>
          </w:tcPr>
          <w:p w14:paraId="066B86FA" w14:textId="77777777" w:rsidR="0087134D" w:rsidRDefault="00915FDC">
            <w:pPr>
              <w:jc w:val="right"/>
            </w:pPr>
            <w:r>
              <w:rPr>
                <w:b/>
                <w:bCs/>
                <w:color w:val="1A2E4A"/>
                <w:sz w:val="20"/>
                <w:szCs w:val="20"/>
              </w:rPr>
              <w:t>€14,0/m²</w:t>
            </w:r>
          </w:p>
        </w:tc>
        <w:bookmarkStart w:id="1" w:name="_GoBack"/>
        <w:bookmarkEnd w:id="1"/>
      </w:tr>
      <w:tr w:rsidR="0087134D" w14:paraId="410CA079" w14:textId="77777777">
        <w:tc>
          <w:tcPr>
            <w:tcW w:w="0" w:type="auto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60" w:type="dxa"/>
              <w:bottom w:w="40" w:type="dxa"/>
              <w:right w:w="160" w:type="dxa"/>
            </w:tcMar>
          </w:tcPr>
          <w:p w14:paraId="534CB6C6" w14:textId="77777777" w:rsidR="0087134D" w:rsidRDefault="00915FDC">
            <w:r>
              <w:rPr>
                <w:i/>
                <w:iCs/>
                <w:color w:val="777777"/>
                <w:sz w:val="18"/>
                <w:szCs w:val="18"/>
              </w:rPr>
              <w:t xml:space="preserve">Napomena: Cijene za novoizgrađene i </w:t>
            </w:r>
            <w:proofErr w:type="spellStart"/>
            <w:r>
              <w:rPr>
                <w:i/>
                <w:iCs/>
                <w:color w:val="777777"/>
                <w:sz w:val="18"/>
                <w:szCs w:val="18"/>
              </w:rPr>
              <w:t>first-occupancy</w:t>
            </w:r>
            <w:proofErr w:type="spellEnd"/>
            <w:r>
              <w:rPr>
                <w:i/>
                <w:iCs/>
                <w:color w:val="777777"/>
                <w:sz w:val="18"/>
                <w:szCs w:val="18"/>
              </w:rPr>
              <w:t xml:space="preserve"> stanove, 2024. Izvor: OTTO </w:t>
            </w:r>
            <w:proofErr w:type="spellStart"/>
            <w:r>
              <w:rPr>
                <w:i/>
                <w:iCs/>
                <w:color w:val="777777"/>
                <w:sz w:val="18"/>
                <w:szCs w:val="18"/>
              </w:rPr>
              <w:t>Immobilien</w:t>
            </w:r>
            <w:proofErr w:type="spellEnd"/>
            <w:r>
              <w:rPr>
                <w:i/>
                <w:iCs/>
                <w:color w:val="777777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777777"/>
                <w:sz w:val="18"/>
                <w:szCs w:val="18"/>
              </w:rPr>
              <w:t>Engel</w:t>
            </w:r>
            <w:proofErr w:type="spellEnd"/>
            <w:r>
              <w:rPr>
                <w:i/>
                <w:iCs/>
                <w:color w:val="777777"/>
                <w:sz w:val="18"/>
                <w:szCs w:val="18"/>
              </w:rPr>
              <w:t xml:space="preserve"> &amp; </w:t>
            </w:r>
            <w:proofErr w:type="spellStart"/>
            <w:r>
              <w:rPr>
                <w:i/>
                <w:iCs/>
                <w:color w:val="777777"/>
                <w:sz w:val="18"/>
                <w:szCs w:val="18"/>
              </w:rPr>
              <w:t>Völkers</w:t>
            </w:r>
            <w:proofErr w:type="spellEnd"/>
            <w:r>
              <w:rPr>
                <w:i/>
                <w:iCs/>
                <w:color w:val="7777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777777"/>
                <w:sz w:val="18"/>
                <w:szCs w:val="18"/>
              </w:rPr>
              <w:t>Vienna</w:t>
            </w:r>
            <w:proofErr w:type="spellEnd"/>
            <w:r>
              <w:rPr>
                <w:i/>
                <w:iCs/>
                <w:color w:val="777777"/>
                <w:sz w:val="18"/>
                <w:szCs w:val="18"/>
              </w:rPr>
              <w:t>.</w:t>
            </w:r>
          </w:p>
        </w:tc>
      </w:tr>
    </w:tbl>
    <w:p w14:paraId="1C7513EE" w14:textId="77777777" w:rsidR="0087134D" w:rsidRDefault="0087134D"/>
    <w:p w14:paraId="528A605C" w14:textId="77777777" w:rsidR="00473509" w:rsidRDefault="00473509"/>
    <w:p w14:paraId="219F8D87" w14:textId="77777777" w:rsidR="0087134D" w:rsidRDefault="00915FDC">
      <w:pPr>
        <w:pStyle w:val="Naslov1"/>
        <w:pBdr>
          <w:left w:val="thick" w:sz="18" w:space="8" w:color="C8372D"/>
        </w:pBdr>
        <w:ind w:left="200"/>
      </w:pPr>
      <w:r>
        <w:t>5. Stambena gradnja: boom i pad</w:t>
      </w:r>
    </w:p>
    <w:p w14:paraId="0105414C" w14:textId="6A082E03" w:rsidR="0087134D" w:rsidRDefault="00915FDC">
      <w:pPr>
        <w:spacing w:before="80" w:after="100"/>
      </w:pPr>
      <w:r>
        <w:rPr>
          <w:color w:val="222222"/>
        </w:rPr>
        <w:t xml:space="preserve">Austrijska stambena gradnja doživjela je dramatičan pad koji je sada problem. Prema </w:t>
      </w:r>
      <w:proofErr w:type="spellStart"/>
      <w:r>
        <w:rPr>
          <w:color w:val="222222"/>
        </w:rPr>
        <w:t>Statistics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Austria</w:t>
      </w:r>
      <w:proofErr w:type="spellEnd"/>
      <w:r>
        <w:rPr>
          <w:color w:val="222222"/>
        </w:rPr>
        <w:t>:</w:t>
      </w:r>
    </w:p>
    <w:p w14:paraId="41A6BE80" w14:textId="77777777" w:rsidR="0087134D" w:rsidRDefault="0087134D">
      <w:pPr>
        <w:spacing w:before="40" w:after="40"/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080"/>
        <w:gridCol w:w="2080"/>
        <w:gridCol w:w="2080"/>
      </w:tblGrid>
      <w:tr w:rsidR="0087134D" w14:paraId="56071864" w14:textId="77777777">
        <w:trPr>
          <w:tblHeader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2E4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E70FB1" w14:textId="77777777" w:rsidR="0087134D" w:rsidRDefault="00915FDC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Godina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2E4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51BA6A" w14:textId="77777777" w:rsidR="0087134D" w:rsidRDefault="00915FDC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Odobrene gradnje (AT)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2E4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69486E" w14:textId="77777777" w:rsidR="0087134D" w:rsidRDefault="00915FDC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Kompletirano (AT)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2E4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0C6838" w14:textId="77777777" w:rsidR="0087134D" w:rsidRDefault="00915FDC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Trend</w:t>
            </w:r>
          </w:p>
        </w:tc>
      </w:tr>
      <w:tr w:rsidR="0087134D" w14:paraId="066AB4C9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93F8B51" w14:textId="77777777" w:rsidR="0087134D" w:rsidRDefault="00915FDC">
            <w:r>
              <w:rPr>
                <w:color w:val="222222"/>
                <w:sz w:val="20"/>
                <w:szCs w:val="20"/>
              </w:rPr>
              <w:t>2017 (vrhunac)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D09E35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~86.300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F5233CA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~72.000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99B2BC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▲ Rekord</w:t>
            </w:r>
          </w:p>
        </w:tc>
      </w:tr>
      <w:tr w:rsidR="0087134D" w14:paraId="4B08EDAE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A6385E" w14:textId="77777777" w:rsidR="0087134D" w:rsidRDefault="00915FDC">
            <w:r>
              <w:rPr>
                <w:color w:val="222222"/>
                <w:sz w:val="20"/>
                <w:szCs w:val="20"/>
              </w:rPr>
              <w:t>2019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1CD5493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~80.000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3270DA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~67.000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205926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▲ Stabilno</w:t>
            </w:r>
          </w:p>
        </w:tc>
      </w:tr>
      <w:tr w:rsidR="0087134D" w14:paraId="2434937B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093151D" w14:textId="77777777" w:rsidR="0087134D" w:rsidRDefault="00915FDC">
            <w:r>
              <w:rPr>
                <w:color w:val="222222"/>
                <w:sz w:val="20"/>
                <w:szCs w:val="20"/>
              </w:rPr>
              <w:t>2021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59DB867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~70.000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EB80A1A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62.091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687A9C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▼ Početak pada</w:t>
            </w:r>
          </w:p>
        </w:tc>
      </w:tr>
      <w:tr w:rsidR="0087134D" w14:paraId="0A62A396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0AA33D" w14:textId="77777777" w:rsidR="0087134D" w:rsidRDefault="00915FDC">
            <w:r>
              <w:rPr>
                <w:color w:val="222222"/>
                <w:sz w:val="20"/>
                <w:szCs w:val="20"/>
              </w:rPr>
              <w:t>2022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3250E91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~64.200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AC7504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57.342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611F7F7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▼▼ Kamatni šok</w:t>
            </w:r>
          </w:p>
        </w:tc>
      </w:tr>
      <w:tr w:rsidR="0087134D" w14:paraId="3AA2D76B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52A77B4" w14:textId="77777777" w:rsidR="0087134D" w:rsidRDefault="00915FDC">
            <w:r>
              <w:rPr>
                <w:color w:val="222222"/>
                <w:sz w:val="20"/>
                <w:szCs w:val="20"/>
              </w:rPr>
              <w:t>2023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3EEF6F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~46.600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745443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52.330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FD14723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▼▼▼ Rekordni pad</w:t>
            </w:r>
          </w:p>
        </w:tc>
      </w:tr>
      <w:tr w:rsidR="0087134D" w14:paraId="2D1290A0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2EE536" w14:textId="77777777" w:rsidR="0087134D" w:rsidRDefault="00915FDC">
            <w:r>
              <w:rPr>
                <w:color w:val="222222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61C0B14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~32.100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CE1DC86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41.762</w:t>
            </w:r>
          </w:p>
        </w:tc>
        <w:tc>
          <w:tcPr>
            <w:tcW w:w="2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FD5EDD9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▼▼▼ Najniže od 2010.</w:t>
            </w:r>
          </w:p>
        </w:tc>
      </w:tr>
    </w:tbl>
    <w:p w14:paraId="3C430817" w14:textId="77777777" w:rsidR="0087134D" w:rsidRDefault="0087134D">
      <w:pPr>
        <w:spacing w:before="40" w:after="40"/>
      </w:pPr>
    </w:p>
    <w:p w14:paraId="729A3C82" w14:textId="77777777" w:rsidR="0087134D" w:rsidRDefault="00915FDC">
      <w:pPr>
        <w:spacing w:before="60" w:after="60"/>
      </w:pPr>
      <w:r>
        <w:rPr>
          <w:i/>
          <w:iCs/>
          <w:color w:val="555555"/>
          <w:sz w:val="20"/>
          <w:szCs w:val="20"/>
        </w:rPr>
        <w:t xml:space="preserve">Tablica 2: Stambena gradnja u Austriji 2017.–2024. (Izvor: </w:t>
      </w:r>
      <w:proofErr w:type="spellStart"/>
      <w:r>
        <w:rPr>
          <w:i/>
          <w:iCs/>
          <w:color w:val="555555"/>
          <w:sz w:val="20"/>
          <w:szCs w:val="20"/>
        </w:rPr>
        <w:t>Statistics</w:t>
      </w:r>
      <w:proofErr w:type="spellEnd"/>
      <w:r>
        <w:rPr>
          <w:i/>
          <w:iCs/>
          <w:color w:val="555555"/>
          <w:sz w:val="20"/>
          <w:szCs w:val="20"/>
        </w:rPr>
        <w:t xml:space="preserve"> </w:t>
      </w:r>
      <w:proofErr w:type="spellStart"/>
      <w:r>
        <w:rPr>
          <w:i/>
          <w:iCs/>
          <w:color w:val="555555"/>
          <w:sz w:val="20"/>
          <w:szCs w:val="20"/>
        </w:rPr>
        <w:t>Austria</w:t>
      </w:r>
      <w:proofErr w:type="spellEnd"/>
      <w:r>
        <w:rPr>
          <w:i/>
          <w:iCs/>
          <w:color w:val="555555"/>
          <w:sz w:val="20"/>
          <w:szCs w:val="20"/>
        </w:rPr>
        <w:t>)</w:t>
      </w:r>
    </w:p>
    <w:p w14:paraId="2210457C" w14:textId="77777777" w:rsidR="0087134D" w:rsidRDefault="0087134D">
      <w:pPr>
        <w:spacing w:before="40" w:after="40"/>
      </w:pPr>
    </w:p>
    <w:p w14:paraId="65465C11" w14:textId="77777777" w:rsidR="0087134D" w:rsidRDefault="00915FDC">
      <w:pPr>
        <w:spacing w:before="80" w:after="100"/>
      </w:pPr>
      <w:r>
        <w:rPr>
          <w:color w:val="222222"/>
        </w:rPr>
        <w:t>Pad od 86.300 odobrenih gradnji 2017. na samo 32.100 u 2024. godini – smanjenje od 63% – je alarmantan signal. Temeljni uzroci:</w:t>
      </w:r>
    </w:p>
    <w:p w14:paraId="5746F6F4" w14:textId="77777777" w:rsidR="0087134D" w:rsidRDefault="0087134D">
      <w:pPr>
        <w:spacing w:before="40" w:after="40"/>
      </w:pPr>
    </w:p>
    <w:p w14:paraId="587CD55E" w14:textId="77777777" w:rsidR="0087134D" w:rsidRDefault="00915FDC">
      <w:pPr>
        <w:pStyle w:val="Odlomakpopisa"/>
        <w:numPr>
          <w:ilvl w:val="0"/>
          <w:numId w:val="3"/>
        </w:numPr>
        <w:spacing w:before="80" w:after="60"/>
      </w:pPr>
      <w:r>
        <w:t xml:space="preserve">Kamatni šok ECB-a (2022.–2024.): </w:t>
      </w:r>
      <w:proofErr w:type="spellStart"/>
      <w:r>
        <w:t>Euribor</w:t>
      </w:r>
      <w:proofErr w:type="spellEnd"/>
      <w:r>
        <w:t xml:space="preserve"> je porastao s negativnih vrijednosti na 4%+ – troškovi financiranja gradnje eksplodirali su.</w:t>
      </w:r>
    </w:p>
    <w:p w14:paraId="4812521C" w14:textId="77777777" w:rsidR="0087134D" w:rsidRDefault="00915FDC">
      <w:pPr>
        <w:pStyle w:val="Odlomakpopisa"/>
        <w:numPr>
          <w:ilvl w:val="0"/>
          <w:numId w:val="3"/>
        </w:numPr>
        <w:spacing w:before="80" w:after="60"/>
      </w:pPr>
      <w:r>
        <w:t>KIM regulacija: Stroži kriteriji za stambene kredite (LTV, DTI) koje je austrijska NB uvela 2022. smanjili su potražnju za vlasničkim stanovima, a time i stimulans za gradnju.</w:t>
      </w:r>
    </w:p>
    <w:p w14:paraId="01E4E9A5" w14:textId="77777777" w:rsidR="0087134D" w:rsidRDefault="00915FDC">
      <w:pPr>
        <w:pStyle w:val="Odlomakpopisa"/>
        <w:numPr>
          <w:ilvl w:val="0"/>
          <w:numId w:val="3"/>
        </w:numPr>
        <w:spacing w:before="80" w:after="60"/>
      </w:pPr>
      <w:r>
        <w:t>Rast troškova gradnje: materijali i radna snaga porasli su 25–35% od 2020.</w:t>
      </w:r>
    </w:p>
    <w:p w14:paraId="45E420E1" w14:textId="77777777" w:rsidR="0087134D" w:rsidRDefault="00915FDC">
      <w:pPr>
        <w:pStyle w:val="Odlomakpopisa"/>
        <w:numPr>
          <w:ilvl w:val="0"/>
          <w:numId w:val="3"/>
        </w:numPr>
        <w:spacing w:before="80" w:after="120"/>
      </w:pPr>
      <w:r>
        <w:t xml:space="preserve">Manjak zemljišta u Beču: grad raste (22.500 novih stanovnika u 2024.), ali slobodnih parcela za gradnju je sve manje unutar </w:t>
      </w:r>
      <w:proofErr w:type="spellStart"/>
      <w:r>
        <w:t>Gürtela</w:t>
      </w:r>
      <w:proofErr w:type="spellEnd"/>
      <w:r>
        <w:t>.</w:t>
      </w:r>
    </w:p>
    <w:p w14:paraId="5BCE2B96" w14:textId="77777777" w:rsidR="0087134D" w:rsidRDefault="0087134D">
      <w:pPr>
        <w:spacing w:before="40" w:after="40"/>
      </w:pPr>
    </w:p>
    <w:p w14:paraId="0F6AEDCA" w14:textId="77777777" w:rsidR="0087134D" w:rsidRDefault="00915FDC">
      <w:pPr>
        <w:spacing w:before="80" w:after="100"/>
      </w:pPr>
      <w:r>
        <w:rPr>
          <w:color w:val="222222"/>
        </w:rPr>
        <w:t>Beč trenutačno treba minimum 10.000–11.000 novih stanova godišnje, a gradi se svega 5.000–6.000.</w:t>
      </w:r>
    </w:p>
    <w:p w14:paraId="14311F20" w14:textId="77777777" w:rsidR="0087134D" w:rsidRDefault="0087134D">
      <w:pPr>
        <w:spacing w:before="40" w:after="40"/>
      </w:pPr>
    </w:p>
    <w:p w14:paraId="3B83BFB4" w14:textId="77777777" w:rsidR="0087134D" w:rsidRDefault="0087134D">
      <w:pPr>
        <w:spacing w:before="40" w:after="40"/>
      </w:pPr>
    </w:p>
    <w:p w14:paraId="485E3541" w14:textId="77777777" w:rsidR="0087134D" w:rsidRDefault="00915FDC">
      <w:pPr>
        <w:pStyle w:val="Naslov1"/>
        <w:pBdr>
          <w:left w:val="thick" w:sz="18" w:space="8" w:color="C8372D"/>
        </w:pBdr>
        <w:ind w:left="200"/>
      </w:pPr>
      <w:r>
        <w:t>6. Beskućništvo u Beču: strategija i realnost</w:t>
      </w:r>
    </w:p>
    <w:p w14:paraId="612DE8C9" w14:textId="77777777" w:rsidR="0087134D" w:rsidRDefault="00915FDC">
      <w:pPr>
        <w:spacing w:before="80" w:after="100"/>
      </w:pPr>
      <w:r>
        <w:rPr>
          <w:color w:val="222222"/>
        </w:rPr>
        <w:t xml:space="preserve">Beč ima dugo razvijen sustav za borbu s beskućništvom koji koordinira </w:t>
      </w:r>
      <w:proofErr w:type="spellStart"/>
      <w:r>
        <w:rPr>
          <w:color w:val="222222"/>
        </w:rPr>
        <w:t>Wiener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Sozialfonds</w:t>
      </w:r>
      <w:proofErr w:type="spellEnd"/>
      <w:r>
        <w:rPr>
          <w:color w:val="222222"/>
        </w:rPr>
        <w:t xml:space="preserve"> (Bečki socijalni fond) kroz mrežu od 150 partnerskih organizacija (</w:t>
      </w:r>
      <w:proofErr w:type="spellStart"/>
      <w:r>
        <w:rPr>
          <w:color w:val="222222"/>
        </w:rPr>
        <w:t>Volkshilfe</w:t>
      </w:r>
      <w:proofErr w:type="spellEnd"/>
      <w:r>
        <w:rPr>
          <w:color w:val="222222"/>
        </w:rPr>
        <w:t xml:space="preserve">, Caritas, St. </w:t>
      </w:r>
      <w:proofErr w:type="spellStart"/>
      <w:r>
        <w:rPr>
          <w:color w:val="222222"/>
        </w:rPr>
        <w:t>Elisabeth-Stiftung</w:t>
      </w:r>
      <w:proofErr w:type="spellEnd"/>
      <w:r>
        <w:rPr>
          <w:color w:val="222222"/>
        </w:rPr>
        <w:t xml:space="preserve"> i drugi).</w:t>
      </w:r>
    </w:p>
    <w:p w14:paraId="39484F9F" w14:textId="77777777" w:rsidR="0087134D" w:rsidRDefault="0087134D">
      <w:pPr>
        <w:spacing w:before="40" w:after="40"/>
      </w:pPr>
    </w:p>
    <w:p w14:paraId="2623501E" w14:textId="77777777" w:rsidR="0087134D" w:rsidRDefault="00915FDC">
      <w:pPr>
        <w:pStyle w:val="Naslov2"/>
        <w:pBdr>
          <w:left w:val="single" w:sz="8" w:space="6" w:color="E8A020"/>
        </w:pBdr>
        <w:ind w:left="160"/>
      </w:pPr>
      <w:r>
        <w:t>Trenutačna situacija (2023.–2025.)</w:t>
      </w:r>
    </w:p>
    <w:p w14:paraId="33C56212" w14:textId="77777777" w:rsidR="0087134D" w:rsidRDefault="00915FDC">
      <w:pPr>
        <w:spacing w:before="80" w:after="100"/>
      </w:pPr>
      <w:r>
        <w:rPr>
          <w:color w:val="222222"/>
        </w:rPr>
        <w:t xml:space="preserve">Prema </w:t>
      </w:r>
      <w:proofErr w:type="spellStart"/>
      <w:r>
        <w:rPr>
          <w:color w:val="222222"/>
        </w:rPr>
        <w:t>Statistics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Austria</w:t>
      </w:r>
      <w:proofErr w:type="spellEnd"/>
      <w:r>
        <w:rPr>
          <w:color w:val="222222"/>
        </w:rPr>
        <w:t xml:space="preserve"> i </w:t>
      </w:r>
      <w:proofErr w:type="spellStart"/>
      <w:r>
        <w:rPr>
          <w:color w:val="222222"/>
        </w:rPr>
        <w:t>Wiener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Wohnungslosenhilfe</w:t>
      </w:r>
      <w:proofErr w:type="spellEnd"/>
      <w:r>
        <w:rPr>
          <w:color w:val="222222"/>
        </w:rPr>
        <w:t>:</w:t>
      </w:r>
    </w:p>
    <w:p w14:paraId="365017D8" w14:textId="77777777" w:rsidR="0087134D" w:rsidRDefault="0087134D">
      <w:pPr>
        <w:spacing w:before="40" w:after="40"/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87134D" w14:paraId="31D7FC29" w14:textId="77777777">
        <w:trPr>
          <w:tblHeader/>
        </w:trPr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2E4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AF8200" w14:textId="77777777" w:rsidR="0087134D" w:rsidRDefault="00915FDC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Pokazatelj</w:t>
            </w:r>
          </w:p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2E4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1B0D3F" w14:textId="77777777" w:rsidR="0087134D" w:rsidRDefault="00915FDC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Podatak</w:t>
            </w:r>
          </w:p>
        </w:tc>
      </w:tr>
      <w:tr w:rsidR="0087134D" w14:paraId="0F80F9C2" w14:textId="77777777"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F1754E" w14:textId="77777777" w:rsidR="0087134D" w:rsidRDefault="00915FDC">
            <w:r>
              <w:rPr>
                <w:color w:val="222222"/>
                <w:sz w:val="20"/>
                <w:szCs w:val="20"/>
              </w:rPr>
              <w:t>Registriranih beskućnika u Austriji (2023.)</w:t>
            </w:r>
          </w:p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2E04F4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20.573 osoba</w:t>
            </w:r>
          </w:p>
        </w:tc>
      </w:tr>
      <w:tr w:rsidR="0087134D" w14:paraId="2564B5D0" w14:textId="77777777"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1FA3747" w14:textId="77777777" w:rsidR="0087134D" w:rsidRDefault="00915FDC">
            <w:r>
              <w:rPr>
                <w:color w:val="222222"/>
                <w:sz w:val="20"/>
                <w:szCs w:val="20"/>
              </w:rPr>
              <w:t>Registriranih beskućnika u Beču (2023.)</w:t>
            </w:r>
          </w:p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7279AA6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11.340–11.400 osoba (~55% AT)</w:t>
            </w:r>
          </w:p>
        </w:tc>
      </w:tr>
      <w:tr w:rsidR="0087134D" w14:paraId="7F94EA7A" w14:textId="77777777"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39FA86F" w14:textId="77777777" w:rsidR="0087134D" w:rsidRDefault="00915FDC">
            <w:r>
              <w:rPr>
                <w:color w:val="222222"/>
                <w:sz w:val="20"/>
                <w:szCs w:val="20"/>
              </w:rPr>
              <w:t>Udio Beča u ukupnom AT beskućništvu</w:t>
            </w:r>
          </w:p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0D62D2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~55–70%</w:t>
            </w:r>
          </w:p>
        </w:tc>
      </w:tr>
      <w:tr w:rsidR="0087134D" w14:paraId="0F33BBCA" w14:textId="77777777"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F44282" w14:textId="77777777" w:rsidR="0087134D" w:rsidRDefault="00915FDC">
            <w:r>
              <w:rPr>
                <w:color w:val="222222"/>
                <w:sz w:val="20"/>
                <w:szCs w:val="20"/>
              </w:rPr>
              <w:t>Godišnji proračun za socijalno stanovanje (Beč)</w:t>
            </w:r>
          </w:p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BA83630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 xml:space="preserve">~470 </w:t>
            </w:r>
            <w:proofErr w:type="spellStart"/>
            <w:r>
              <w:rPr>
                <w:color w:val="222222"/>
                <w:sz w:val="20"/>
                <w:szCs w:val="20"/>
              </w:rPr>
              <w:t>mil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. USD (~440 </w:t>
            </w:r>
            <w:proofErr w:type="spellStart"/>
            <w:r>
              <w:rPr>
                <w:color w:val="222222"/>
                <w:sz w:val="20"/>
                <w:szCs w:val="20"/>
              </w:rPr>
              <w:t>mil</w:t>
            </w:r>
            <w:proofErr w:type="spellEnd"/>
            <w:r>
              <w:rPr>
                <w:color w:val="222222"/>
                <w:sz w:val="20"/>
                <w:szCs w:val="20"/>
              </w:rPr>
              <w:t>. EUR)</w:t>
            </w:r>
          </w:p>
        </w:tc>
      </w:tr>
      <w:tr w:rsidR="0087134D" w14:paraId="06956413" w14:textId="77777777"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B7DA85" w14:textId="77777777" w:rsidR="0087134D" w:rsidRDefault="00915FDC">
            <w:r>
              <w:rPr>
                <w:color w:val="222222"/>
                <w:sz w:val="20"/>
                <w:szCs w:val="20"/>
              </w:rPr>
              <w:t>Broj korisnika Bečkog socijalnog fonda</w:t>
            </w:r>
          </w:p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470B9C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~100.000 osoba u teškim situacijama</w:t>
            </w:r>
          </w:p>
        </w:tc>
      </w:tr>
      <w:tr w:rsidR="0087134D" w14:paraId="56971038" w14:textId="77777777"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C2CDEE2" w14:textId="77777777" w:rsidR="0087134D" w:rsidRDefault="00915FDC">
            <w:r>
              <w:rPr>
                <w:color w:val="222222"/>
                <w:sz w:val="20"/>
                <w:szCs w:val="20"/>
              </w:rPr>
              <w:t>EU cilj: završiti beskućništvo do</w:t>
            </w:r>
          </w:p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6F3D7F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2030.</w:t>
            </w:r>
          </w:p>
        </w:tc>
      </w:tr>
    </w:tbl>
    <w:p w14:paraId="7C562170" w14:textId="77777777" w:rsidR="0087134D" w:rsidRDefault="0087134D">
      <w:pPr>
        <w:spacing w:before="40" w:after="40"/>
      </w:pPr>
    </w:p>
    <w:p w14:paraId="0F4DB183" w14:textId="77777777" w:rsidR="0087134D" w:rsidRDefault="00915FDC">
      <w:pPr>
        <w:spacing w:before="60" w:after="60"/>
      </w:pPr>
      <w:r>
        <w:rPr>
          <w:i/>
          <w:iCs/>
          <w:color w:val="555555"/>
          <w:sz w:val="20"/>
          <w:szCs w:val="20"/>
        </w:rPr>
        <w:t xml:space="preserve">Tablica 3: Beskućništvo u Beču 2023.–2025. (Izvor: </w:t>
      </w:r>
      <w:proofErr w:type="spellStart"/>
      <w:r>
        <w:rPr>
          <w:i/>
          <w:iCs/>
          <w:color w:val="555555"/>
          <w:sz w:val="20"/>
          <w:szCs w:val="20"/>
        </w:rPr>
        <w:t>Statistics</w:t>
      </w:r>
      <w:proofErr w:type="spellEnd"/>
      <w:r>
        <w:rPr>
          <w:i/>
          <w:iCs/>
          <w:color w:val="555555"/>
          <w:sz w:val="20"/>
          <w:szCs w:val="20"/>
        </w:rPr>
        <w:t xml:space="preserve"> </w:t>
      </w:r>
      <w:proofErr w:type="spellStart"/>
      <w:r>
        <w:rPr>
          <w:i/>
          <w:iCs/>
          <w:color w:val="555555"/>
          <w:sz w:val="20"/>
          <w:szCs w:val="20"/>
        </w:rPr>
        <w:t>Austria</w:t>
      </w:r>
      <w:proofErr w:type="spellEnd"/>
      <w:r>
        <w:rPr>
          <w:i/>
          <w:iCs/>
          <w:color w:val="555555"/>
          <w:sz w:val="20"/>
          <w:szCs w:val="20"/>
        </w:rPr>
        <w:t xml:space="preserve">, </w:t>
      </w:r>
      <w:proofErr w:type="spellStart"/>
      <w:r>
        <w:rPr>
          <w:i/>
          <w:iCs/>
          <w:color w:val="555555"/>
          <w:sz w:val="20"/>
          <w:szCs w:val="20"/>
        </w:rPr>
        <w:t>Wiener</w:t>
      </w:r>
      <w:proofErr w:type="spellEnd"/>
      <w:r>
        <w:rPr>
          <w:i/>
          <w:iCs/>
          <w:color w:val="555555"/>
          <w:sz w:val="20"/>
          <w:szCs w:val="20"/>
        </w:rPr>
        <w:t xml:space="preserve"> </w:t>
      </w:r>
      <w:proofErr w:type="spellStart"/>
      <w:r>
        <w:rPr>
          <w:i/>
          <w:iCs/>
          <w:color w:val="555555"/>
          <w:sz w:val="20"/>
          <w:szCs w:val="20"/>
        </w:rPr>
        <w:t>Wohnungslosenhilfe</w:t>
      </w:r>
      <w:proofErr w:type="spellEnd"/>
      <w:r>
        <w:rPr>
          <w:i/>
          <w:iCs/>
          <w:color w:val="555555"/>
          <w:sz w:val="20"/>
          <w:szCs w:val="20"/>
        </w:rPr>
        <w:t xml:space="preserve"> </w:t>
      </w:r>
      <w:proofErr w:type="spellStart"/>
      <w:r>
        <w:rPr>
          <w:i/>
          <w:iCs/>
          <w:color w:val="555555"/>
          <w:sz w:val="20"/>
          <w:szCs w:val="20"/>
        </w:rPr>
        <w:t>Situationsbericht</w:t>
      </w:r>
      <w:proofErr w:type="spellEnd"/>
      <w:r>
        <w:rPr>
          <w:i/>
          <w:iCs/>
          <w:color w:val="555555"/>
          <w:sz w:val="20"/>
          <w:szCs w:val="20"/>
        </w:rPr>
        <w:t xml:space="preserve"> 2025, </w:t>
      </w:r>
      <w:proofErr w:type="spellStart"/>
      <w:r>
        <w:rPr>
          <w:i/>
          <w:iCs/>
          <w:color w:val="555555"/>
          <w:sz w:val="20"/>
          <w:szCs w:val="20"/>
        </w:rPr>
        <w:t>Volkshilfe</w:t>
      </w:r>
      <w:proofErr w:type="spellEnd"/>
      <w:r>
        <w:rPr>
          <w:i/>
          <w:iCs/>
          <w:color w:val="555555"/>
          <w:sz w:val="20"/>
          <w:szCs w:val="20"/>
        </w:rPr>
        <w:t xml:space="preserve"> </w:t>
      </w:r>
      <w:proofErr w:type="spellStart"/>
      <w:r>
        <w:rPr>
          <w:i/>
          <w:iCs/>
          <w:color w:val="555555"/>
          <w:sz w:val="20"/>
          <w:szCs w:val="20"/>
        </w:rPr>
        <w:t>Wien</w:t>
      </w:r>
      <w:proofErr w:type="spellEnd"/>
      <w:r>
        <w:rPr>
          <w:i/>
          <w:iCs/>
          <w:color w:val="555555"/>
          <w:sz w:val="20"/>
          <w:szCs w:val="20"/>
        </w:rPr>
        <w:t>)</w:t>
      </w:r>
    </w:p>
    <w:p w14:paraId="329FB0C1" w14:textId="77777777" w:rsidR="0087134D" w:rsidRDefault="0087134D">
      <w:pPr>
        <w:spacing w:before="40" w:after="40"/>
      </w:pPr>
    </w:p>
    <w:p w14:paraId="334C9E80" w14:textId="77777777" w:rsidR="0087134D" w:rsidRDefault="00915FDC">
      <w:pPr>
        <w:spacing w:before="80" w:after="100"/>
      </w:pPr>
      <w:r>
        <w:rPr>
          <w:color w:val="222222"/>
        </w:rPr>
        <w:lastRenderedPageBreak/>
        <w:t xml:space="preserve">Organizacija </w:t>
      </w:r>
      <w:proofErr w:type="spellStart"/>
      <w:r>
        <w:rPr>
          <w:color w:val="222222"/>
        </w:rPr>
        <w:t>Volkshilfe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Wien</w:t>
      </w:r>
      <w:proofErr w:type="spellEnd"/>
      <w:r>
        <w:rPr>
          <w:color w:val="222222"/>
        </w:rPr>
        <w:t xml:space="preserve"> upozorava da stvarni broj beskućnika daleko premašuje statistike: mnogi su "prikriveno" beskućni – borave privremeno kod prijatelja, rodbine ili u prenapučenim uvjetima. Žene, mladi odrasli i migranti su posebno teško vidljivi u statistikama.</w:t>
      </w:r>
    </w:p>
    <w:p w14:paraId="1D696BCB" w14:textId="77777777" w:rsidR="0087134D" w:rsidRDefault="0087134D">
      <w:pPr>
        <w:spacing w:before="40" w:after="40"/>
      </w:pPr>
    </w:p>
    <w:p w14:paraId="705915AC" w14:textId="77777777" w:rsidR="0087134D" w:rsidRDefault="00915FDC">
      <w:pPr>
        <w:pStyle w:val="Naslov2"/>
        <w:pBdr>
          <w:left w:val="single" w:sz="8" w:space="6" w:color="E8A020"/>
        </w:pBdr>
        <w:ind w:left="160"/>
      </w:pPr>
      <w:proofErr w:type="spellStart"/>
      <w:r>
        <w:t>Housing</w:t>
      </w:r>
      <w:proofErr w:type="spellEnd"/>
      <w:r>
        <w:t xml:space="preserve"> First u Beču</w:t>
      </w:r>
    </w:p>
    <w:p w14:paraId="24A159E7" w14:textId="77777777" w:rsidR="0087134D" w:rsidRDefault="00915FDC">
      <w:pPr>
        <w:spacing w:before="80" w:after="100"/>
      </w:pPr>
      <w:r>
        <w:rPr>
          <w:color w:val="222222"/>
        </w:rPr>
        <w:t xml:space="preserve">Beč primjenjuje </w:t>
      </w:r>
      <w:proofErr w:type="spellStart"/>
      <w:r>
        <w:rPr>
          <w:color w:val="222222"/>
        </w:rPr>
        <w:t>Housing</w:t>
      </w:r>
      <w:proofErr w:type="spellEnd"/>
      <w:r>
        <w:rPr>
          <w:color w:val="222222"/>
        </w:rPr>
        <w:t xml:space="preserve"> First pristup u okviru gradskih programa koji nastavljaju tradiciju </w:t>
      </w:r>
      <w:proofErr w:type="spellStart"/>
      <w:r>
        <w:rPr>
          <w:color w:val="222222"/>
        </w:rPr>
        <w:t>Rotes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Wienskog</w:t>
      </w:r>
      <w:proofErr w:type="spellEnd"/>
      <w:r>
        <w:rPr>
          <w:color w:val="222222"/>
        </w:rPr>
        <w:t xml:space="preserve"> preventivnog pristupa. </w:t>
      </w:r>
      <w:proofErr w:type="spellStart"/>
      <w:r>
        <w:rPr>
          <w:color w:val="222222"/>
        </w:rPr>
        <w:t>Wohndrehscheibe</w:t>
      </w:r>
      <w:proofErr w:type="spellEnd"/>
      <w:r>
        <w:rPr>
          <w:color w:val="222222"/>
        </w:rPr>
        <w:t xml:space="preserve"> (Stambeni okretaj) </w:t>
      </w:r>
      <w:proofErr w:type="spellStart"/>
      <w:r>
        <w:rPr>
          <w:color w:val="222222"/>
        </w:rPr>
        <w:t>Volkshilfe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Wien</w:t>
      </w:r>
      <w:proofErr w:type="spellEnd"/>
      <w:r>
        <w:rPr>
          <w:color w:val="222222"/>
        </w:rPr>
        <w:t xml:space="preserve"> jedina je </w:t>
      </w:r>
      <w:proofErr w:type="spellStart"/>
      <w:r>
        <w:rPr>
          <w:color w:val="222222"/>
        </w:rPr>
        <w:t>savjetovalna</w:t>
      </w:r>
      <w:proofErr w:type="spellEnd"/>
      <w:r>
        <w:rPr>
          <w:color w:val="222222"/>
        </w:rPr>
        <w:t xml:space="preserve"> točka fokusirana specifično na privatno tržište za </w:t>
      </w:r>
      <w:proofErr w:type="spellStart"/>
      <w:r>
        <w:rPr>
          <w:color w:val="222222"/>
        </w:rPr>
        <w:t>niskoprihodna</w:t>
      </w:r>
      <w:proofErr w:type="spellEnd"/>
      <w:r>
        <w:rPr>
          <w:color w:val="222222"/>
        </w:rPr>
        <w:t xml:space="preserve"> kućanstva. </w:t>
      </w:r>
      <w:proofErr w:type="spellStart"/>
      <w:r>
        <w:rPr>
          <w:color w:val="222222"/>
        </w:rPr>
        <w:t>Eviction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Prevention</w:t>
      </w:r>
      <w:proofErr w:type="spellEnd"/>
      <w:r>
        <w:rPr>
          <w:color w:val="222222"/>
        </w:rPr>
        <w:t xml:space="preserve"> Office intervenira kad su stanari u riziku od deložacije – </w:t>
      </w:r>
      <w:proofErr w:type="spellStart"/>
      <w:r>
        <w:rPr>
          <w:color w:val="222222"/>
        </w:rPr>
        <w:t>mediracijom</w:t>
      </w:r>
      <w:proofErr w:type="spellEnd"/>
      <w:r>
        <w:rPr>
          <w:color w:val="222222"/>
        </w:rPr>
        <w:t xml:space="preserve"> s upraviteljima zgrada.</w:t>
      </w:r>
    </w:p>
    <w:p w14:paraId="5D02B47B" w14:textId="77777777" w:rsidR="0087134D" w:rsidRDefault="0087134D"/>
    <w:p w14:paraId="4BD2AA0D" w14:textId="77777777" w:rsidR="00473509" w:rsidRDefault="00473509"/>
    <w:p w14:paraId="6BD2869E" w14:textId="77777777" w:rsidR="0087134D" w:rsidRDefault="00915FDC">
      <w:pPr>
        <w:pStyle w:val="Naslov1"/>
        <w:pBdr>
          <w:left w:val="thick" w:sz="18" w:space="8" w:color="C8372D"/>
        </w:pBdr>
        <w:ind w:left="200"/>
      </w:pPr>
      <w:r>
        <w:t>7. Kritike modela i aktualni izazovi</w:t>
      </w:r>
    </w:p>
    <w:p w14:paraId="068349B2" w14:textId="77777777" w:rsidR="0087134D" w:rsidRDefault="00915FDC">
      <w:pPr>
        <w:pStyle w:val="Naslov2"/>
        <w:pBdr>
          <w:left w:val="single" w:sz="8" w:space="6" w:color="E8A020"/>
        </w:pBdr>
        <w:ind w:left="160"/>
      </w:pPr>
      <w:r>
        <w:t>"</w:t>
      </w:r>
      <w:proofErr w:type="spellStart"/>
      <w:r>
        <w:t>Insajderi</w:t>
      </w:r>
      <w:proofErr w:type="spellEnd"/>
      <w:r>
        <w:t>" i alokacijska neefikasnost</w:t>
      </w:r>
    </w:p>
    <w:p w14:paraId="75AEF386" w14:textId="27E51E42" w:rsidR="0087134D" w:rsidRDefault="00915FDC">
      <w:pPr>
        <w:spacing w:before="80" w:after="100"/>
      </w:pPr>
      <w:r>
        <w:rPr>
          <w:color w:val="222222"/>
        </w:rPr>
        <w:t xml:space="preserve">Jedan od najsnažnijih argumenata kritičara bečkog modela dolazi iz AEI studije (2023.): oko 50% </w:t>
      </w:r>
      <w:proofErr w:type="spellStart"/>
      <w:r>
        <w:rPr>
          <w:color w:val="222222"/>
        </w:rPr>
        <w:t>visokoprihodni</w:t>
      </w:r>
      <w:proofErr w:type="spellEnd"/>
      <w:r>
        <w:rPr>
          <w:color w:val="222222"/>
        </w:rPr>
        <w:t xml:space="preserve"> kućanstava živi u </w:t>
      </w:r>
      <w:r w:rsidR="008247F3" w:rsidRPr="008247F3">
        <w:rPr>
          <w:szCs w:val="20"/>
        </w:rPr>
        <w:t>subvencioniranom</w:t>
      </w:r>
      <w:r w:rsidR="008247F3" w:rsidRPr="008247F3">
        <w:rPr>
          <w:color w:val="222222"/>
          <w:sz w:val="24"/>
        </w:rPr>
        <w:t xml:space="preserve"> </w:t>
      </w:r>
      <w:r>
        <w:rPr>
          <w:color w:val="222222"/>
        </w:rPr>
        <w:t xml:space="preserve">stanovanju zahvaljujući doživotnim ugovorima koji se mogu nasljeđivati unutar obitelji. Ovo stvara klasičan problem </w:t>
      </w:r>
      <w:commentRangeStart w:id="2"/>
      <w:proofErr w:type="spellStart"/>
      <w:r>
        <w:rPr>
          <w:color w:val="222222"/>
        </w:rPr>
        <w:t>i</w:t>
      </w:r>
      <w:r w:rsidR="008247F3">
        <w:rPr>
          <w:color w:val="222222"/>
        </w:rPr>
        <w:t>nsider</w:t>
      </w:r>
      <w:proofErr w:type="spellEnd"/>
      <w:r w:rsidR="008247F3">
        <w:rPr>
          <w:color w:val="222222"/>
        </w:rPr>
        <w:t>/</w:t>
      </w:r>
      <w:proofErr w:type="spellStart"/>
      <w:r w:rsidR="008247F3">
        <w:rPr>
          <w:color w:val="222222"/>
        </w:rPr>
        <w:t>outsi</w:t>
      </w:r>
      <w:r>
        <w:rPr>
          <w:color w:val="222222"/>
        </w:rPr>
        <w:t>der</w:t>
      </w:r>
      <w:commentRangeEnd w:id="2"/>
      <w:proofErr w:type="spellEnd"/>
      <w:r w:rsidR="00A55C0A">
        <w:rPr>
          <w:rStyle w:val="Referencakomentara"/>
          <w:color w:val="222222"/>
          <w:sz w:val="22"/>
          <w:szCs w:val="22"/>
        </w:rPr>
        <w:commentReference w:id="2"/>
      </w:r>
      <w:r>
        <w:rPr>
          <w:color w:val="222222"/>
        </w:rPr>
        <w:t xml:space="preserve">: </w:t>
      </w:r>
      <w:commentRangeStart w:id="3"/>
      <w:r>
        <w:rPr>
          <w:color w:val="222222"/>
        </w:rPr>
        <w:t xml:space="preserve">novi </w:t>
      </w:r>
      <w:r w:rsidR="008247F3">
        <w:rPr>
          <w:color w:val="222222"/>
        </w:rPr>
        <w:t>potraživači</w:t>
      </w:r>
      <w:r>
        <w:rPr>
          <w:color w:val="222222"/>
        </w:rPr>
        <w:t xml:space="preserve"> </w:t>
      </w:r>
      <w:commentRangeEnd w:id="3"/>
      <w:r w:rsidR="00A55C0A">
        <w:rPr>
          <w:rStyle w:val="Referencakomentara"/>
          <w:color w:val="222222"/>
          <w:sz w:val="22"/>
          <w:szCs w:val="22"/>
        </w:rPr>
        <w:commentReference w:id="3"/>
      </w:r>
      <w:r>
        <w:rPr>
          <w:color w:val="222222"/>
        </w:rPr>
        <w:t>(mladi, migranti, osobe s nižim prihodima koji ne ispu</w:t>
      </w:r>
      <w:r w:rsidR="008247F3">
        <w:rPr>
          <w:color w:val="222222"/>
        </w:rPr>
        <w:t>njavaju uvjete za listu čekanja</w:t>
      </w:r>
      <w:r>
        <w:rPr>
          <w:color w:val="222222"/>
        </w:rPr>
        <w:t>.</w:t>
      </w:r>
      <w:r w:rsidR="008247F3">
        <w:rPr>
          <w:color w:val="222222"/>
        </w:rPr>
        <w:t>)</w:t>
      </w:r>
    </w:p>
    <w:p w14:paraId="53C14EEB" w14:textId="77777777" w:rsidR="0087134D" w:rsidRDefault="0087134D">
      <w:pPr>
        <w:spacing w:before="40" w:after="40"/>
      </w:pPr>
    </w:p>
    <w:p w14:paraId="39FD7526" w14:textId="77777777" w:rsidR="0087134D" w:rsidRDefault="00915FDC">
      <w:pPr>
        <w:spacing w:before="80" w:after="100"/>
      </w:pPr>
      <w:r>
        <w:rPr>
          <w:color w:val="222222"/>
        </w:rPr>
        <w:t xml:space="preserve">Procijenjeni operativni deficit </w:t>
      </w:r>
      <w:proofErr w:type="spellStart"/>
      <w:r>
        <w:rPr>
          <w:color w:val="222222"/>
        </w:rPr>
        <w:t>Gemeindewohnungen</w:t>
      </w:r>
      <w:proofErr w:type="spellEnd"/>
      <w:r>
        <w:rPr>
          <w:color w:val="222222"/>
        </w:rPr>
        <w:t>: ~827 milijuna EUR za 2016. godinu, s operativnim troškovima koji su 60% viši od prihoda od najamnina. Stariji dio fonda (predratna gradnja) suočava se s ogromnim potrebama za renovacijom.</w:t>
      </w:r>
    </w:p>
    <w:p w14:paraId="4B83FC3C" w14:textId="77777777" w:rsidR="0087134D" w:rsidRDefault="0087134D">
      <w:pPr>
        <w:spacing w:before="40" w:after="40"/>
      </w:pPr>
    </w:p>
    <w:p w14:paraId="217063F0" w14:textId="77777777" w:rsidR="0087134D" w:rsidRDefault="00915FDC">
      <w:pPr>
        <w:pStyle w:val="Naslov2"/>
        <w:pBdr>
          <w:left w:val="single" w:sz="8" w:space="6" w:color="E8A020"/>
        </w:pBdr>
        <w:ind w:left="160"/>
      </w:pPr>
      <w:r>
        <w:t>Rast cijena i dostupnosti</w:t>
      </w:r>
    </w:p>
    <w:p w14:paraId="6FB6B55E" w14:textId="77777777" w:rsidR="0087134D" w:rsidRDefault="00915FDC">
      <w:pPr>
        <w:spacing w:before="80" w:after="100"/>
      </w:pPr>
      <w:r>
        <w:rPr>
          <w:color w:val="222222"/>
        </w:rPr>
        <w:t>Unatoč snažnom socijalnom sektoru, privatne najamnine porasle su 13%+ u 2024. godini – daleko iznad inflacije od 1,9% (</w:t>
      </w:r>
      <w:proofErr w:type="spellStart"/>
      <w:r>
        <w:rPr>
          <w:color w:val="222222"/>
        </w:rPr>
        <w:t>Statistics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Austria</w:t>
      </w:r>
      <w:proofErr w:type="spellEnd"/>
      <w:r>
        <w:rPr>
          <w:color w:val="222222"/>
        </w:rPr>
        <w:t xml:space="preserve">, studeni 2024.). </w:t>
      </w:r>
      <w:proofErr w:type="spellStart"/>
      <w:r>
        <w:rPr>
          <w:color w:val="222222"/>
        </w:rPr>
        <w:t>Bloomberg</w:t>
      </w:r>
      <w:proofErr w:type="spellEnd"/>
      <w:r>
        <w:rPr>
          <w:color w:val="222222"/>
        </w:rPr>
        <w:t xml:space="preserve"> je 2024. opisao Beč kao "epicentar europske stambene bijede" – prodajne cijene pale su 12% u 2023. (više nego Stockholm), no najamnine rastu jer je potražnja za najmom eksplodirala (kupci koji više ne mogu kupiti prelaze na najam).</w:t>
      </w:r>
    </w:p>
    <w:p w14:paraId="4F58C66B" w14:textId="77777777" w:rsidR="0087134D" w:rsidRDefault="0087134D">
      <w:pPr>
        <w:spacing w:before="40" w:after="40"/>
      </w:pPr>
    </w:p>
    <w:p w14:paraId="1BC0C6AC" w14:textId="77777777" w:rsidR="0087134D" w:rsidRDefault="00915FDC">
      <w:pPr>
        <w:pStyle w:val="Naslov2"/>
        <w:pBdr>
          <w:left w:val="single" w:sz="8" w:space="6" w:color="E8A020"/>
        </w:pBdr>
        <w:ind w:left="160"/>
      </w:pPr>
      <w:r>
        <w:t>Demografski pritisci</w:t>
      </w:r>
    </w:p>
    <w:p w14:paraId="4D92791E" w14:textId="301576CC" w:rsidR="0087134D" w:rsidRDefault="008247F3">
      <w:pPr>
        <w:spacing w:before="80" w:after="100"/>
      </w:pPr>
      <w:r>
        <w:rPr>
          <w:color w:val="222222"/>
        </w:rPr>
        <w:t>Beč</w:t>
      </w:r>
      <w:commentRangeStart w:id="4"/>
      <w:r w:rsidR="00915FDC">
        <w:rPr>
          <w:color w:val="222222"/>
        </w:rPr>
        <w:t xml:space="preserve"> </w:t>
      </w:r>
      <w:commentRangeEnd w:id="4"/>
      <w:r w:rsidR="00A55C0A">
        <w:rPr>
          <w:rStyle w:val="Referencakomentara"/>
          <w:color w:val="222222"/>
          <w:sz w:val="22"/>
          <w:szCs w:val="22"/>
        </w:rPr>
        <w:commentReference w:id="4"/>
      </w:r>
      <w:r w:rsidR="00915FDC">
        <w:rPr>
          <w:color w:val="222222"/>
        </w:rPr>
        <w:t>raste: u 2024. populacija je porasla za ~22.500 ljudi, pretežno migracijom (178.000+ doseljenika u Austriju, od toga ~68.000 u Beč). Do 2060. prognozira se rast broja jednočlanih kućanstava za 21,5% – što dalje povećava potrebu za stanovima.</w:t>
      </w:r>
    </w:p>
    <w:p w14:paraId="073D5C6D" w14:textId="77777777" w:rsidR="0087134D" w:rsidRDefault="0087134D">
      <w:pPr>
        <w:spacing w:before="40" w:after="40"/>
      </w:pPr>
    </w:p>
    <w:p w14:paraId="580F83FC" w14:textId="77777777" w:rsidR="0087134D" w:rsidRDefault="0087134D">
      <w:pPr>
        <w:spacing w:before="40" w:after="40"/>
        <w:rPr>
          <w:i/>
          <w:iCs/>
          <w:color w:val="5A4000"/>
          <w:sz w:val="21"/>
          <w:szCs w:val="21"/>
        </w:rPr>
      </w:pPr>
    </w:p>
    <w:p w14:paraId="664731D6" w14:textId="77777777" w:rsidR="00473509" w:rsidRDefault="00473509">
      <w:pPr>
        <w:spacing w:before="40" w:after="40"/>
        <w:rPr>
          <w:i/>
          <w:iCs/>
          <w:color w:val="5A4000"/>
          <w:sz w:val="21"/>
          <w:szCs w:val="21"/>
        </w:rPr>
      </w:pPr>
    </w:p>
    <w:p w14:paraId="544FD008" w14:textId="77777777" w:rsidR="00473509" w:rsidRDefault="00473509">
      <w:pPr>
        <w:spacing w:before="40" w:after="40"/>
        <w:rPr>
          <w:i/>
          <w:iCs/>
          <w:color w:val="5A4000"/>
          <w:sz w:val="21"/>
          <w:szCs w:val="21"/>
        </w:rPr>
      </w:pPr>
    </w:p>
    <w:p w14:paraId="14ECB553" w14:textId="77777777" w:rsidR="00473509" w:rsidRDefault="00473509">
      <w:pPr>
        <w:spacing w:before="40" w:after="40"/>
        <w:rPr>
          <w:i/>
          <w:iCs/>
          <w:color w:val="5A4000"/>
          <w:sz w:val="21"/>
          <w:szCs w:val="21"/>
        </w:rPr>
      </w:pPr>
    </w:p>
    <w:p w14:paraId="57F4F2A3" w14:textId="77777777" w:rsidR="00473509" w:rsidRDefault="00473509">
      <w:pPr>
        <w:spacing w:before="40" w:after="40"/>
        <w:rPr>
          <w:i/>
          <w:iCs/>
          <w:color w:val="5A4000"/>
          <w:sz w:val="21"/>
          <w:szCs w:val="21"/>
        </w:rPr>
      </w:pPr>
    </w:p>
    <w:p w14:paraId="6B0D4DF9" w14:textId="77777777" w:rsidR="00473509" w:rsidRDefault="00473509">
      <w:pPr>
        <w:spacing w:before="40" w:after="40"/>
        <w:rPr>
          <w:i/>
          <w:iCs/>
          <w:color w:val="5A4000"/>
          <w:sz w:val="21"/>
          <w:szCs w:val="21"/>
        </w:rPr>
      </w:pPr>
    </w:p>
    <w:p w14:paraId="787545D6" w14:textId="77777777" w:rsidR="0087134D" w:rsidRDefault="00915FDC">
      <w:r>
        <w:br w:type="page"/>
      </w:r>
    </w:p>
    <w:p w14:paraId="460510A9" w14:textId="77777777" w:rsidR="0087134D" w:rsidRDefault="00E43DB0">
      <w:pPr>
        <w:pStyle w:val="Naslov1"/>
        <w:pBdr>
          <w:left w:val="thick" w:sz="18" w:space="8" w:color="C8372D"/>
        </w:pBdr>
        <w:ind w:left="200"/>
      </w:pPr>
      <w:r>
        <w:lastRenderedPageBreak/>
        <w:t>8</w:t>
      </w:r>
      <w:r w:rsidR="00915FDC">
        <w:t>. Zaključak</w:t>
      </w:r>
    </w:p>
    <w:p w14:paraId="4B5D0F37" w14:textId="0BAFA69F" w:rsidR="0087134D" w:rsidRDefault="00915FDC">
      <w:pPr>
        <w:spacing w:before="80" w:after="100"/>
      </w:pPr>
      <w:r>
        <w:rPr>
          <w:color w:val="222222"/>
        </w:rPr>
        <w:t>Bečki stambeni model je jedno od najimpresivnijih dostignuća urbane politike 20. i 21. s</w:t>
      </w:r>
      <w:r w:rsidRPr="008247F3">
        <w:rPr>
          <w:color w:val="222222"/>
        </w:rPr>
        <w:t xml:space="preserve">toljeća. Gotovo 43% kućanstava u </w:t>
      </w:r>
      <w:r w:rsidR="00A55C0A" w:rsidRPr="008247F3">
        <w:rPr>
          <w:color w:val="222222"/>
        </w:rPr>
        <w:t>subvencioniranom</w:t>
      </w:r>
      <w:r w:rsidRPr="008247F3">
        <w:rPr>
          <w:color w:val="222222"/>
        </w:rPr>
        <w:t xml:space="preserve"> stanovanju, naj</w:t>
      </w:r>
      <w:r w:rsidR="00A55C0A" w:rsidRPr="008247F3">
        <w:rPr>
          <w:color w:val="222222"/>
        </w:rPr>
        <w:t>am</w:t>
      </w:r>
      <w:r w:rsidRPr="008247F3">
        <w:rPr>
          <w:color w:val="222222"/>
        </w:rPr>
        <w:t xml:space="preserve"> stanov</w:t>
      </w:r>
      <w:r w:rsidR="00A55C0A" w:rsidRPr="008247F3">
        <w:rPr>
          <w:color w:val="222222"/>
        </w:rPr>
        <w:t>a</w:t>
      </w:r>
      <w:r w:rsidRPr="008247F3">
        <w:rPr>
          <w:color w:val="222222"/>
        </w:rPr>
        <w:t xml:space="preserve"> po cijenama ispod tržišnih, </w:t>
      </w:r>
      <w:r w:rsidR="008247F3" w:rsidRPr="008247F3">
        <w:t>društvena heterogenost</w:t>
      </w:r>
      <w:r w:rsidR="008247F3">
        <w:rPr>
          <w:color w:val="222222"/>
        </w:rPr>
        <w:t xml:space="preserve"> </w:t>
      </w:r>
      <w:r>
        <w:rPr>
          <w:color w:val="222222"/>
        </w:rPr>
        <w:t>u svim kvartovima i prepoznatljivost koja je gradu donijela naslov najljepšeg za život na svijetu 2024. – teško je naći paralelu.</w:t>
      </w:r>
    </w:p>
    <w:p w14:paraId="4C1D996E" w14:textId="77777777" w:rsidR="0087134D" w:rsidRDefault="0087134D">
      <w:pPr>
        <w:spacing w:before="40" w:after="40"/>
      </w:pPr>
    </w:p>
    <w:p w14:paraId="2693F2BF" w14:textId="69A46E1C" w:rsidR="0087134D" w:rsidRDefault="00915FDC">
      <w:pPr>
        <w:spacing w:before="80" w:after="100"/>
      </w:pPr>
      <w:r>
        <w:rPr>
          <w:color w:val="222222"/>
        </w:rPr>
        <w:t>Ipak, model nije bez izazova. Deficit stambene gradnje (-63% od 2017. do 2024.), rast priva</w:t>
      </w:r>
      <w:r w:rsidR="008247F3">
        <w:rPr>
          <w:color w:val="222222"/>
        </w:rPr>
        <w:t>tnih najamnina iznad inflacije,</w:t>
      </w:r>
      <w:commentRangeStart w:id="5"/>
      <w:r>
        <w:rPr>
          <w:color w:val="222222"/>
        </w:rPr>
        <w:t xml:space="preserve"> </w:t>
      </w:r>
      <w:commentRangeEnd w:id="5"/>
      <w:r w:rsidR="00A55C0A">
        <w:rPr>
          <w:rStyle w:val="Referencakomentara"/>
          <w:color w:val="222222"/>
          <w:sz w:val="22"/>
          <w:szCs w:val="22"/>
        </w:rPr>
        <w:commentReference w:id="5"/>
      </w:r>
      <w:r>
        <w:rPr>
          <w:color w:val="222222"/>
        </w:rPr>
        <w:t xml:space="preserve">operativni deficit </w:t>
      </w:r>
      <w:proofErr w:type="spellStart"/>
      <w:r>
        <w:rPr>
          <w:color w:val="222222"/>
        </w:rPr>
        <w:t>Gemeindebaua</w:t>
      </w:r>
      <w:proofErr w:type="spellEnd"/>
      <w:r>
        <w:rPr>
          <w:color w:val="222222"/>
        </w:rPr>
        <w:t xml:space="preserve"> i demografski pritisci migracijom pokazuju da čak i najveće sustave tržišni šokovi mogu destabilizirati.</w:t>
      </w:r>
    </w:p>
    <w:p w14:paraId="14D43E70" w14:textId="77777777" w:rsidR="0087134D" w:rsidRDefault="0087134D">
      <w:pPr>
        <w:spacing w:before="40" w:after="40"/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5760"/>
      </w:tblGrid>
      <w:tr w:rsidR="0087134D" w14:paraId="5948A82C" w14:textId="77777777">
        <w:trPr>
          <w:tblHeader/>
        </w:trPr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2E4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D6C193E" w14:textId="77777777" w:rsidR="0087134D" w:rsidRDefault="00915FDC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Tema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2E4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112F19" w14:textId="77777777" w:rsidR="0087134D" w:rsidRDefault="00915FDC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Zaključak</w:t>
            </w:r>
          </w:p>
        </w:tc>
      </w:tr>
      <w:tr w:rsidR="0087134D" w14:paraId="79854D11" w14:textId="77777777"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36894DF" w14:textId="77777777" w:rsidR="0087134D" w:rsidRDefault="00915FDC">
            <w:r>
              <w:rPr>
                <w:color w:val="222222"/>
                <w:sz w:val="20"/>
                <w:szCs w:val="20"/>
              </w:rPr>
              <w:t>Socijalno stanovanje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E2416A3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~40% fonda; 220.000 općinskih + 200.000 GBV; pristupačno za 80% populacije</w:t>
            </w:r>
          </w:p>
        </w:tc>
      </w:tr>
      <w:tr w:rsidR="0087134D" w14:paraId="472CEA71" w14:textId="77777777"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EA8DEC" w14:textId="77777777" w:rsidR="0087134D" w:rsidRDefault="00915FDC">
            <w:r>
              <w:rPr>
                <w:color w:val="222222"/>
                <w:sz w:val="20"/>
                <w:szCs w:val="20"/>
              </w:rPr>
              <w:t>Beskućništvo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535D3F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11.400 u Beču (2023.); Bečki socijalni fond pomaže 100.000 ugroženih; EU cilj: ≈0 do 2030.</w:t>
            </w:r>
          </w:p>
        </w:tc>
      </w:tr>
      <w:tr w:rsidR="0087134D" w14:paraId="52854E82" w14:textId="77777777"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2ABF81" w14:textId="77777777" w:rsidR="0087134D" w:rsidRDefault="00915FDC">
            <w:r>
              <w:rPr>
                <w:color w:val="222222"/>
                <w:sz w:val="20"/>
                <w:szCs w:val="20"/>
              </w:rPr>
              <w:t>Gradnja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0017229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Rekordni pad: 86.300 (2017.) → 32.100 (2024.) odobrenih stanova; deficit 5.000–6.000 stanova/god.</w:t>
            </w:r>
          </w:p>
        </w:tc>
      </w:tr>
      <w:tr w:rsidR="0087134D" w14:paraId="4F4D4861" w14:textId="77777777"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F21B33C" w14:textId="77777777" w:rsidR="0087134D" w:rsidRDefault="00915FDC">
            <w:r>
              <w:rPr>
                <w:color w:val="222222"/>
                <w:sz w:val="20"/>
                <w:szCs w:val="20"/>
              </w:rPr>
              <w:t>Cijene najma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AE5DC9D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+70% od 2010.; privatni segment +13% u 2024.; rast plaća zaostaje</w:t>
            </w:r>
          </w:p>
        </w:tc>
      </w:tr>
      <w:tr w:rsidR="0087134D" w14:paraId="5D7BEFCF" w14:textId="77777777"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DE86CE" w14:textId="77777777" w:rsidR="0087134D" w:rsidRDefault="00915FDC">
            <w:r>
              <w:rPr>
                <w:color w:val="222222"/>
                <w:sz w:val="20"/>
                <w:szCs w:val="20"/>
              </w:rPr>
              <w:t>Fiskalni pritisci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DE67750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 xml:space="preserve">Operativni deficit </w:t>
            </w:r>
            <w:proofErr w:type="spellStart"/>
            <w:r>
              <w:rPr>
                <w:color w:val="222222"/>
                <w:sz w:val="20"/>
                <w:szCs w:val="20"/>
              </w:rPr>
              <w:t>Gemeindebaua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; 50% </w:t>
            </w:r>
            <w:proofErr w:type="spellStart"/>
            <w:r>
              <w:rPr>
                <w:color w:val="222222"/>
                <w:sz w:val="20"/>
                <w:szCs w:val="20"/>
              </w:rPr>
              <w:t>visokoprihodni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u </w:t>
            </w:r>
            <w:proofErr w:type="spellStart"/>
            <w:r>
              <w:rPr>
                <w:color w:val="222222"/>
                <w:sz w:val="20"/>
                <w:szCs w:val="20"/>
              </w:rPr>
              <w:t>subvencjoniranim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stanovima</w:t>
            </w:r>
          </w:p>
        </w:tc>
      </w:tr>
      <w:tr w:rsidR="0087134D" w14:paraId="505880DA" w14:textId="77777777"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6ABB76E" w14:textId="77777777" w:rsidR="0087134D" w:rsidRDefault="00915FDC">
            <w:r>
              <w:rPr>
                <w:color w:val="222222"/>
                <w:sz w:val="20"/>
                <w:szCs w:val="20"/>
              </w:rPr>
              <w:t>Globalna pozicija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2F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4A8F1FF" w14:textId="77777777" w:rsidR="0087134D" w:rsidRDefault="00915FDC">
            <w:pPr>
              <w:jc w:val="center"/>
            </w:pPr>
            <w:r>
              <w:rPr>
                <w:color w:val="222222"/>
                <w:sz w:val="20"/>
                <w:szCs w:val="20"/>
              </w:rPr>
              <w:t>No. 1 najljepši grad za život (EIU 2024.); model koji studiraju Vancouver, LA, Sydney</w:t>
            </w:r>
          </w:p>
        </w:tc>
      </w:tr>
    </w:tbl>
    <w:p w14:paraId="6E541464" w14:textId="77777777" w:rsidR="0087134D" w:rsidRDefault="0087134D">
      <w:pPr>
        <w:spacing w:before="40" w:after="40"/>
      </w:pPr>
    </w:p>
    <w:p w14:paraId="2A9F416E" w14:textId="77777777" w:rsidR="0087134D" w:rsidRDefault="00915FDC">
      <w:pPr>
        <w:spacing w:before="60" w:after="60"/>
      </w:pPr>
      <w:r>
        <w:rPr>
          <w:i/>
          <w:iCs/>
          <w:color w:val="555555"/>
          <w:sz w:val="20"/>
          <w:szCs w:val="20"/>
        </w:rPr>
        <w:t xml:space="preserve">Tablica 5: Sažetak – Bečka stambena politika 2024. (Izvor: EIU, </w:t>
      </w:r>
      <w:proofErr w:type="spellStart"/>
      <w:r>
        <w:rPr>
          <w:i/>
          <w:iCs/>
          <w:color w:val="555555"/>
          <w:sz w:val="20"/>
          <w:szCs w:val="20"/>
        </w:rPr>
        <w:t>Statistics</w:t>
      </w:r>
      <w:proofErr w:type="spellEnd"/>
      <w:r>
        <w:rPr>
          <w:i/>
          <w:iCs/>
          <w:color w:val="555555"/>
          <w:sz w:val="20"/>
          <w:szCs w:val="20"/>
        </w:rPr>
        <w:t xml:space="preserve"> </w:t>
      </w:r>
      <w:proofErr w:type="spellStart"/>
      <w:r>
        <w:rPr>
          <w:i/>
          <w:iCs/>
          <w:color w:val="555555"/>
          <w:sz w:val="20"/>
          <w:szCs w:val="20"/>
        </w:rPr>
        <w:t>Austria</w:t>
      </w:r>
      <w:proofErr w:type="spellEnd"/>
      <w:r>
        <w:rPr>
          <w:i/>
          <w:iCs/>
          <w:color w:val="555555"/>
          <w:sz w:val="20"/>
          <w:szCs w:val="20"/>
        </w:rPr>
        <w:t xml:space="preserve">, </w:t>
      </w:r>
      <w:proofErr w:type="spellStart"/>
      <w:r>
        <w:rPr>
          <w:i/>
          <w:iCs/>
          <w:color w:val="555555"/>
          <w:sz w:val="20"/>
          <w:szCs w:val="20"/>
        </w:rPr>
        <w:t>Stadt</w:t>
      </w:r>
      <w:proofErr w:type="spellEnd"/>
      <w:r>
        <w:rPr>
          <w:i/>
          <w:iCs/>
          <w:color w:val="555555"/>
          <w:sz w:val="20"/>
          <w:szCs w:val="20"/>
        </w:rPr>
        <w:t xml:space="preserve"> </w:t>
      </w:r>
      <w:proofErr w:type="spellStart"/>
      <w:r>
        <w:rPr>
          <w:i/>
          <w:iCs/>
          <w:color w:val="555555"/>
          <w:sz w:val="20"/>
          <w:szCs w:val="20"/>
        </w:rPr>
        <w:t>Wien</w:t>
      </w:r>
      <w:proofErr w:type="spellEnd"/>
      <w:r>
        <w:rPr>
          <w:i/>
          <w:iCs/>
          <w:color w:val="555555"/>
          <w:sz w:val="20"/>
          <w:szCs w:val="20"/>
        </w:rPr>
        <w:t xml:space="preserve">, </w:t>
      </w:r>
      <w:proofErr w:type="spellStart"/>
      <w:r>
        <w:rPr>
          <w:i/>
          <w:iCs/>
          <w:color w:val="555555"/>
          <w:sz w:val="20"/>
          <w:szCs w:val="20"/>
        </w:rPr>
        <w:t>Wiener</w:t>
      </w:r>
      <w:proofErr w:type="spellEnd"/>
      <w:r>
        <w:rPr>
          <w:i/>
          <w:iCs/>
          <w:color w:val="555555"/>
          <w:sz w:val="20"/>
          <w:szCs w:val="20"/>
        </w:rPr>
        <w:t xml:space="preserve"> </w:t>
      </w:r>
      <w:proofErr w:type="spellStart"/>
      <w:r>
        <w:rPr>
          <w:i/>
          <w:iCs/>
          <w:color w:val="555555"/>
          <w:sz w:val="20"/>
          <w:szCs w:val="20"/>
        </w:rPr>
        <w:t>Wohnungslosenhilfe</w:t>
      </w:r>
      <w:proofErr w:type="spellEnd"/>
      <w:r>
        <w:rPr>
          <w:i/>
          <w:iCs/>
          <w:color w:val="555555"/>
          <w:sz w:val="20"/>
          <w:szCs w:val="20"/>
        </w:rPr>
        <w:t>)</w:t>
      </w:r>
    </w:p>
    <w:p w14:paraId="3A9DF19A" w14:textId="77777777" w:rsidR="0087134D" w:rsidRDefault="0087134D" w:rsidP="00E43DB0">
      <w:pPr>
        <w:spacing w:before="80" w:after="100"/>
      </w:pPr>
    </w:p>
    <w:sectPr w:rsidR="0087134D">
      <w:headerReference w:type="default" r:id="rId10"/>
      <w:footerReference w:type="default" r:id="rId11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Benedikt Petar Barun" w:date="2026-04-23T14:49:00Z" w:initials="BPB">
    <w:p w14:paraId="74E14B14" w14:textId="77777777" w:rsidR="00A55C0A" w:rsidRDefault="00A55C0A" w:rsidP="00A55C0A">
      <w:r>
        <w:rPr>
          <w:rStyle w:val="Referencakomentara"/>
        </w:rPr>
        <w:annotationRef/>
      </w:r>
      <w:r>
        <w:rPr>
          <w:sz w:val="20"/>
          <w:szCs w:val="20"/>
        </w:rPr>
        <w:t>U tablici ne vidim rast, samo najamnine</w:t>
      </w:r>
    </w:p>
  </w:comment>
  <w:comment w:id="2" w:author="Benedikt Petar Barun" w:date="2026-04-23T14:52:00Z" w:initials="BPB">
    <w:p w14:paraId="78226ECF" w14:textId="77777777" w:rsidR="00A55C0A" w:rsidRDefault="00A55C0A" w:rsidP="00A55C0A">
      <w:r>
        <w:rPr>
          <w:rStyle w:val="Referencakomentara"/>
        </w:rPr>
        <w:annotationRef/>
      </w:r>
      <w:r>
        <w:rPr>
          <w:sz w:val="20"/>
          <w:szCs w:val="20"/>
        </w:rPr>
        <w:t>napisao bi na engleskom</w:t>
      </w:r>
    </w:p>
  </w:comment>
  <w:comment w:id="3" w:author="Benedikt Petar Barun" w:date="2026-04-23T14:54:00Z" w:initials="BPB">
    <w:p w14:paraId="5EA1DC44" w14:textId="77777777" w:rsidR="00A55C0A" w:rsidRDefault="00A55C0A" w:rsidP="00A55C0A">
      <w:r>
        <w:rPr>
          <w:rStyle w:val="Referencakomentara"/>
        </w:rPr>
        <w:annotationRef/>
      </w:r>
      <w:r>
        <w:rPr>
          <w:sz w:val="20"/>
          <w:szCs w:val="20"/>
        </w:rPr>
        <w:t>potraživači?</w:t>
      </w:r>
    </w:p>
  </w:comment>
  <w:comment w:id="4" w:author="Benedikt Petar Barun" w:date="2026-04-23T14:54:00Z" w:initials="BPB">
    <w:p w14:paraId="7EF17960" w14:textId="1BC6907D" w:rsidR="00A55C0A" w:rsidRDefault="00A55C0A" w:rsidP="00A55C0A">
      <w:r>
        <w:rPr>
          <w:rStyle w:val="Referencakomentara"/>
        </w:rPr>
        <w:annotationRef/>
      </w:r>
      <w:proofErr w:type="spellStart"/>
      <w:r w:rsidR="008247F3">
        <w:rPr>
          <w:sz w:val="20"/>
          <w:szCs w:val="20"/>
        </w:rPr>
        <w:t>B</w:t>
      </w:r>
      <w:r>
        <w:rPr>
          <w:sz w:val="20"/>
          <w:szCs w:val="20"/>
        </w:rPr>
        <w:t>Beč</w:t>
      </w:r>
      <w:proofErr w:type="spellEnd"/>
    </w:p>
  </w:comment>
  <w:comment w:id="5" w:author="Benedikt Petar Barun" w:date="2026-04-23T14:57:00Z" w:initials="BPB">
    <w:p w14:paraId="1096C96E" w14:textId="77777777" w:rsidR="00A55C0A" w:rsidRDefault="00A55C0A" w:rsidP="00A55C0A">
      <w:r>
        <w:rPr>
          <w:rStyle w:val="Referencakomentara"/>
        </w:rPr>
        <w:annotationRef/>
      </w:r>
      <w:r>
        <w:rPr>
          <w:sz w:val="20"/>
          <w:szCs w:val="20"/>
        </w:rPr>
        <w:t>:/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4E14B14" w15:done="0"/>
  <w15:commentEx w15:paraId="78226ECF" w15:done="0"/>
  <w15:commentEx w15:paraId="5EA1DC44" w15:done="0"/>
  <w15:commentEx w15:paraId="7EF17960" w15:done="0"/>
  <w15:commentEx w15:paraId="1096C96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144F458" w16cex:dateUtc="2026-04-23T12:32:00Z"/>
  <w16cex:commentExtensible w16cex:durableId="401A64D1" w16cex:dateUtc="2026-04-23T12:48:00Z"/>
  <w16cex:commentExtensible w16cex:durableId="583E51B7" w16cex:dateUtc="2026-04-23T12:49:00Z"/>
  <w16cex:commentExtensible w16cex:durableId="2D1DD4B0" w16cex:dateUtc="2026-04-23T12:50:00Z"/>
  <w16cex:commentExtensible w16cex:durableId="38D5032D" w16cex:dateUtc="2026-04-23T12:52:00Z"/>
  <w16cex:commentExtensible w16cex:durableId="1E68B610" w16cex:dateUtc="2026-04-23T12:52:00Z"/>
  <w16cex:commentExtensible w16cex:durableId="3CA2BEFA" w16cex:dateUtc="2026-04-23T12:54:00Z"/>
  <w16cex:commentExtensible w16cex:durableId="095690E3" w16cex:dateUtc="2026-04-23T12:53:00Z"/>
  <w16cex:commentExtensible w16cex:durableId="0889C53E" w16cex:dateUtc="2026-04-23T12:54:00Z"/>
  <w16cex:commentExtensible w16cex:durableId="28704B46" w16cex:dateUtc="2026-04-23T12:56:00Z"/>
  <w16cex:commentExtensible w16cex:durableId="3D8774B3" w16cex:dateUtc="2026-04-23T1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303A11" w16cid:durableId="4144F458"/>
  <w16cid:commentId w16cid:paraId="14BBAB5D" w16cid:durableId="401A64D1"/>
  <w16cid:commentId w16cid:paraId="74E14B14" w16cid:durableId="583E51B7"/>
  <w16cid:commentId w16cid:paraId="043DC1EE" w16cid:durableId="2D1DD4B0"/>
  <w16cid:commentId w16cid:paraId="4CF0C124" w16cid:durableId="38D5032D"/>
  <w16cid:commentId w16cid:paraId="78226ECF" w16cid:durableId="1E68B610"/>
  <w16cid:commentId w16cid:paraId="5EA1DC44" w16cid:durableId="3CA2BEFA"/>
  <w16cid:commentId w16cid:paraId="112F7446" w16cid:durableId="095690E3"/>
  <w16cid:commentId w16cid:paraId="7EF17960" w16cid:durableId="0889C53E"/>
  <w16cid:commentId w16cid:paraId="357693A3" w16cid:durableId="28704B46"/>
  <w16cid:commentId w16cid:paraId="1096C96E" w16cid:durableId="3D8774B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C053C" w14:textId="77777777" w:rsidR="003A584F" w:rsidRDefault="003A584F">
      <w:r>
        <w:separator/>
      </w:r>
    </w:p>
  </w:endnote>
  <w:endnote w:type="continuationSeparator" w:id="0">
    <w:p w14:paraId="6588A517" w14:textId="77777777" w:rsidR="003A584F" w:rsidRDefault="003A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19D3F" w14:textId="77777777" w:rsidR="0087134D" w:rsidRDefault="0087134D">
    <w:pPr>
      <w:pBdr>
        <w:top w:val="single" w:sz="4" w:space="0" w:color="E8A020"/>
      </w:pBdr>
      <w:spacing w:before="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05E49" w14:textId="77777777" w:rsidR="003A584F" w:rsidRDefault="003A584F">
      <w:r>
        <w:separator/>
      </w:r>
    </w:p>
  </w:footnote>
  <w:footnote w:type="continuationSeparator" w:id="0">
    <w:p w14:paraId="738E8EEA" w14:textId="77777777" w:rsidR="003A584F" w:rsidRDefault="003A5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9C7B2" w14:textId="77777777" w:rsidR="00F919B0" w:rsidRDefault="00F919B0">
    <w:pPr>
      <w:pBdr>
        <w:bottom w:val="single" w:sz="6" w:space="0" w:color="C8372D"/>
      </w:pBdr>
      <w:spacing w:after="1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392"/>
    <w:multiLevelType w:val="hybridMultilevel"/>
    <w:tmpl w:val="823CB94C"/>
    <w:lvl w:ilvl="0" w:tplc="1A50D1C2">
      <w:start w:val="1"/>
      <w:numFmt w:val="bullet"/>
      <w:lvlText w:val="●"/>
      <w:lvlJc w:val="left"/>
      <w:pPr>
        <w:ind w:left="720" w:hanging="360"/>
      </w:pPr>
    </w:lvl>
    <w:lvl w:ilvl="1" w:tplc="84703494">
      <w:start w:val="1"/>
      <w:numFmt w:val="bullet"/>
      <w:lvlText w:val="○"/>
      <w:lvlJc w:val="left"/>
      <w:pPr>
        <w:ind w:left="1440" w:hanging="360"/>
      </w:pPr>
    </w:lvl>
    <w:lvl w:ilvl="2" w:tplc="72EAED8C">
      <w:start w:val="1"/>
      <w:numFmt w:val="bullet"/>
      <w:lvlText w:val="■"/>
      <w:lvlJc w:val="left"/>
      <w:pPr>
        <w:ind w:left="2160" w:hanging="360"/>
      </w:pPr>
    </w:lvl>
    <w:lvl w:ilvl="3" w:tplc="B4E67DA0">
      <w:start w:val="1"/>
      <w:numFmt w:val="bullet"/>
      <w:lvlText w:val="●"/>
      <w:lvlJc w:val="left"/>
      <w:pPr>
        <w:ind w:left="2880" w:hanging="360"/>
      </w:pPr>
    </w:lvl>
    <w:lvl w:ilvl="4" w:tplc="DD2A56B0">
      <w:start w:val="1"/>
      <w:numFmt w:val="bullet"/>
      <w:lvlText w:val="○"/>
      <w:lvlJc w:val="left"/>
      <w:pPr>
        <w:ind w:left="3600" w:hanging="360"/>
      </w:pPr>
    </w:lvl>
    <w:lvl w:ilvl="5" w:tplc="1364483C">
      <w:start w:val="1"/>
      <w:numFmt w:val="bullet"/>
      <w:lvlText w:val="■"/>
      <w:lvlJc w:val="left"/>
      <w:pPr>
        <w:ind w:left="4320" w:hanging="360"/>
      </w:pPr>
    </w:lvl>
    <w:lvl w:ilvl="6" w:tplc="92AAF89A">
      <w:start w:val="1"/>
      <w:numFmt w:val="bullet"/>
      <w:lvlText w:val="●"/>
      <w:lvlJc w:val="left"/>
      <w:pPr>
        <w:ind w:left="5040" w:hanging="360"/>
      </w:pPr>
    </w:lvl>
    <w:lvl w:ilvl="7" w:tplc="ACC8FE3C">
      <w:start w:val="1"/>
      <w:numFmt w:val="bullet"/>
      <w:lvlText w:val="●"/>
      <w:lvlJc w:val="left"/>
      <w:pPr>
        <w:ind w:left="5760" w:hanging="360"/>
      </w:pPr>
    </w:lvl>
    <w:lvl w:ilvl="8" w:tplc="F5B608A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85D121F"/>
    <w:multiLevelType w:val="hybridMultilevel"/>
    <w:tmpl w:val="C2AA78C8"/>
    <w:lvl w:ilvl="0" w:tplc="2A429536">
      <w:start w:val="1"/>
      <w:numFmt w:val="decimal"/>
      <w:lvlText w:val="%1."/>
      <w:lvlJc w:val="left"/>
      <w:pPr>
        <w:ind w:left="600" w:hanging="300"/>
      </w:pPr>
    </w:lvl>
    <w:lvl w:ilvl="1" w:tplc="E5B63BB2">
      <w:numFmt w:val="decimal"/>
      <w:lvlText w:val=""/>
      <w:lvlJc w:val="left"/>
    </w:lvl>
    <w:lvl w:ilvl="2" w:tplc="A040268E">
      <w:numFmt w:val="decimal"/>
      <w:lvlText w:val=""/>
      <w:lvlJc w:val="left"/>
    </w:lvl>
    <w:lvl w:ilvl="3" w:tplc="96A48620">
      <w:numFmt w:val="decimal"/>
      <w:lvlText w:val=""/>
      <w:lvlJc w:val="left"/>
    </w:lvl>
    <w:lvl w:ilvl="4" w:tplc="E9F2A8EA">
      <w:numFmt w:val="decimal"/>
      <w:lvlText w:val=""/>
      <w:lvlJc w:val="left"/>
    </w:lvl>
    <w:lvl w:ilvl="5" w:tplc="93AA48F2">
      <w:numFmt w:val="decimal"/>
      <w:lvlText w:val=""/>
      <w:lvlJc w:val="left"/>
    </w:lvl>
    <w:lvl w:ilvl="6" w:tplc="E54E8064">
      <w:numFmt w:val="decimal"/>
      <w:lvlText w:val=""/>
      <w:lvlJc w:val="left"/>
    </w:lvl>
    <w:lvl w:ilvl="7" w:tplc="FF76E69E">
      <w:numFmt w:val="decimal"/>
      <w:lvlText w:val=""/>
      <w:lvlJc w:val="left"/>
    </w:lvl>
    <w:lvl w:ilvl="8" w:tplc="F198F786">
      <w:numFmt w:val="decimal"/>
      <w:lvlText w:val=""/>
      <w:lvlJc w:val="left"/>
    </w:lvl>
  </w:abstractNum>
  <w:abstractNum w:abstractNumId="2" w15:restartNumberingAfterBreak="0">
    <w:nsid w:val="43623CC7"/>
    <w:multiLevelType w:val="hybridMultilevel"/>
    <w:tmpl w:val="DBCCA8AA"/>
    <w:lvl w:ilvl="0" w:tplc="2A2078AC">
      <w:start w:val="1"/>
      <w:numFmt w:val="bullet"/>
      <w:lvlText w:val="▸"/>
      <w:lvlJc w:val="left"/>
      <w:pPr>
        <w:ind w:left="600" w:hanging="300"/>
      </w:pPr>
    </w:lvl>
    <w:lvl w:ilvl="1" w:tplc="E264B928">
      <w:numFmt w:val="decimal"/>
      <w:lvlText w:val=""/>
      <w:lvlJc w:val="left"/>
    </w:lvl>
    <w:lvl w:ilvl="2" w:tplc="A19A17C0">
      <w:numFmt w:val="decimal"/>
      <w:lvlText w:val=""/>
      <w:lvlJc w:val="left"/>
    </w:lvl>
    <w:lvl w:ilvl="3" w:tplc="6B54E4CE">
      <w:numFmt w:val="decimal"/>
      <w:lvlText w:val=""/>
      <w:lvlJc w:val="left"/>
    </w:lvl>
    <w:lvl w:ilvl="4" w:tplc="6E9E352A">
      <w:numFmt w:val="decimal"/>
      <w:lvlText w:val=""/>
      <w:lvlJc w:val="left"/>
    </w:lvl>
    <w:lvl w:ilvl="5" w:tplc="128CCAC0">
      <w:numFmt w:val="decimal"/>
      <w:lvlText w:val=""/>
      <w:lvlJc w:val="left"/>
    </w:lvl>
    <w:lvl w:ilvl="6" w:tplc="E5604300">
      <w:numFmt w:val="decimal"/>
      <w:lvlText w:val=""/>
      <w:lvlJc w:val="left"/>
    </w:lvl>
    <w:lvl w:ilvl="7" w:tplc="D4069CE2">
      <w:numFmt w:val="decimal"/>
      <w:lvlText w:val=""/>
      <w:lvlJc w:val="left"/>
    </w:lvl>
    <w:lvl w:ilvl="8" w:tplc="F7C4CA2C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nedikt Petar Barun">
    <w15:presenceInfo w15:providerId="AD" w15:userId="S::bbarun@grad.hr::3b74e8ad-0401-450a-be56-c091d84f39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4D"/>
    <w:rsid w:val="00324B31"/>
    <w:rsid w:val="003A584F"/>
    <w:rsid w:val="00473509"/>
    <w:rsid w:val="008247F3"/>
    <w:rsid w:val="00824B88"/>
    <w:rsid w:val="0087134D"/>
    <w:rsid w:val="00915FDC"/>
    <w:rsid w:val="00996D76"/>
    <w:rsid w:val="00A55C0A"/>
    <w:rsid w:val="00AA13DE"/>
    <w:rsid w:val="00C2401F"/>
    <w:rsid w:val="00DA3286"/>
    <w:rsid w:val="00E43DB0"/>
    <w:rsid w:val="00F9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216A6"/>
  <w15:docId w15:val="{31AAB5A0-1B14-49EA-B865-D12106D2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qFormat/>
    <w:pPr>
      <w:spacing w:before="360" w:after="160"/>
      <w:outlineLvl w:val="0"/>
    </w:pPr>
    <w:rPr>
      <w:b/>
      <w:bCs/>
      <w:color w:val="1A2E4A"/>
      <w:sz w:val="36"/>
      <w:szCs w:val="36"/>
    </w:rPr>
  </w:style>
  <w:style w:type="paragraph" w:styleId="Naslov2">
    <w:name w:val="heading 2"/>
    <w:qFormat/>
    <w:pPr>
      <w:spacing w:before="280" w:after="120"/>
      <w:outlineLvl w:val="1"/>
    </w:pPr>
    <w:rPr>
      <w:b/>
      <w:bCs/>
      <w:color w:val="1A2E4A"/>
      <w:sz w:val="26"/>
      <w:szCs w:val="26"/>
    </w:rPr>
  </w:style>
  <w:style w:type="paragraph" w:styleId="Naslov3">
    <w:name w:val="heading 3"/>
    <w:qFormat/>
    <w:pPr>
      <w:outlineLvl w:val="2"/>
    </w:pPr>
    <w:rPr>
      <w:color w:val="1F4D78"/>
      <w:sz w:val="24"/>
      <w:szCs w:val="24"/>
    </w:rPr>
  </w:style>
  <w:style w:type="paragraph" w:styleId="Naslov4">
    <w:name w:val="heading 4"/>
    <w:qFormat/>
    <w:pPr>
      <w:outlineLvl w:val="3"/>
    </w:pPr>
    <w:rPr>
      <w:i/>
      <w:iCs/>
      <w:color w:val="2E74B5"/>
    </w:rPr>
  </w:style>
  <w:style w:type="paragraph" w:styleId="Naslov5">
    <w:name w:val="heading 5"/>
    <w:qFormat/>
    <w:pPr>
      <w:outlineLvl w:val="4"/>
    </w:pPr>
    <w:rPr>
      <w:color w:val="2E74B5"/>
    </w:rPr>
  </w:style>
  <w:style w:type="paragraph" w:styleId="Naslov6">
    <w:name w:val="heading 6"/>
    <w:qFormat/>
    <w:pPr>
      <w:outlineLvl w:val="5"/>
    </w:pPr>
    <w:rPr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qFormat/>
    <w:rPr>
      <w:sz w:val="56"/>
      <w:szCs w:val="56"/>
    </w:rPr>
  </w:style>
  <w:style w:type="paragraph" w:customStyle="1" w:styleId="Naglaeno1">
    <w:name w:val="Naglašeno1"/>
    <w:qFormat/>
    <w:rPr>
      <w:b/>
      <w:bCs/>
    </w:rPr>
  </w:style>
  <w:style w:type="paragraph" w:styleId="Odlomakpopisa">
    <w:name w:val="List Paragraph"/>
    <w:qFormat/>
  </w:style>
  <w:style w:type="character" w:styleId="Hiperveza">
    <w:name w:val="Hyperlink"/>
    <w:uiPriority w:val="99"/>
    <w:unhideWhenUsed/>
    <w:rPr>
      <w:color w:val="0563C1"/>
      <w:u w:val="single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link w:val="TekstfusnoteChar"/>
    <w:uiPriority w:val="99"/>
    <w:semiHidden/>
    <w:unhideWhenUsed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unhideWhenUsed/>
    <w:rPr>
      <w:sz w:val="20"/>
      <w:szCs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paragraph" w:styleId="Tekstkrajnjebiljeke">
    <w:name w:val="endnote text"/>
    <w:link w:val="TekstkrajnjebiljekeChar"/>
    <w:uiPriority w:val="99"/>
    <w:semiHidden/>
    <w:unhideWhenUsed/>
    <w:rPr>
      <w:sz w:val="20"/>
      <w:szCs w:val="20"/>
    </w:rPr>
  </w:style>
  <w:style w:type="character" w:customStyle="1" w:styleId="TekstkrajnjebiljekeChar">
    <w:name w:val="Tekst krajnje bilješke Char"/>
    <w:link w:val="Tekstkrajnjebiljeke"/>
    <w:uiPriority w:val="99"/>
    <w:semiHidden/>
    <w:unhideWhenUsed/>
    <w:rPr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F919B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919B0"/>
  </w:style>
  <w:style w:type="paragraph" w:styleId="Podnoje">
    <w:name w:val="footer"/>
    <w:basedOn w:val="Normal"/>
    <w:link w:val="PodnojeChar"/>
    <w:uiPriority w:val="99"/>
    <w:unhideWhenUsed/>
    <w:rsid w:val="00F919B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19B0"/>
  </w:style>
  <w:style w:type="character" w:styleId="Referencakomentara">
    <w:name w:val="annotation reference"/>
    <w:basedOn w:val="Zadanifontodlomka"/>
    <w:uiPriority w:val="99"/>
    <w:semiHidden/>
    <w:unhideWhenUsed/>
    <w:rsid w:val="00DA328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A328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A328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A328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A3286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47F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47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3218E-2C33-4D43-B0E9-962FEC8A2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1676</Words>
  <Characters>9559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Korisnik</cp:lastModifiedBy>
  <cp:revision>6</cp:revision>
  <dcterms:created xsi:type="dcterms:W3CDTF">2026-04-22T13:34:00Z</dcterms:created>
  <dcterms:modified xsi:type="dcterms:W3CDTF">2026-04-30T09:36:00Z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98ed073a-f699-473a-9ac0-f8952723da08</vt:lpwstr>
  </property>
</Properties>
</file>