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764" w:rsidRDefault="002C1764">
      <w:pPr>
        <w:spacing w:before="120"/>
      </w:pPr>
    </w:p>
    <w:p w:rsidR="002C1764" w:rsidRDefault="0040052F">
      <w:pPr>
        <w:spacing w:after="280"/>
        <w:jc w:val="center"/>
      </w:pPr>
      <w:r>
        <w:rPr>
          <w:b/>
          <w:bCs/>
          <w:color w:val="1565C0"/>
          <w:sz w:val="48"/>
          <w:szCs w:val="48"/>
        </w:rPr>
        <w:t>Kako je F</w:t>
      </w:r>
      <w:r w:rsidR="00D06186">
        <w:rPr>
          <w:b/>
          <w:bCs/>
          <w:color w:val="1565C0"/>
          <w:sz w:val="48"/>
          <w:szCs w:val="48"/>
        </w:rPr>
        <w:t>inska izgradila sustav pristupač</w:t>
      </w:r>
      <w:r>
        <w:rPr>
          <w:b/>
          <w:bCs/>
          <w:color w:val="1565C0"/>
          <w:sz w:val="48"/>
          <w:szCs w:val="48"/>
        </w:rPr>
        <w:t>nog stanovanja?</w:t>
      </w:r>
    </w:p>
    <w:p w:rsidR="002C1764" w:rsidRDefault="0040052F" w:rsidP="00D06186">
      <w:pPr>
        <w:spacing w:after="800"/>
        <w:jc w:val="center"/>
      </w:pPr>
      <w:r>
        <w:rPr>
          <w:i/>
          <w:iCs/>
          <w:color w:val="555555"/>
          <w:sz w:val="26"/>
          <w:szCs w:val="26"/>
        </w:rPr>
        <w:t>Stambena polit</w:t>
      </w:r>
      <w:r w:rsidR="00D06186">
        <w:rPr>
          <w:i/>
          <w:iCs/>
          <w:color w:val="555555"/>
          <w:sz w:val="26"/>
          <w:szCs w:val="26"/>
        </w:rPr>
        <w:t xml:space="preserve">ika, </w:t>
      </w:r>
      <w:proofErr w:type="spellStart"/>
      <w:r w:rsidR="00D06186">
        <w:rPr>
          <w:i/>
          <w:iCs/>
          <w:color w:val="555555"/>
          <w:sz w:val="26"/>
          <w:szCs w:val="26"/>
        </w:rPr>
        <w:t>Housing</w:t>
      </w:r>
      <w:proofErr w:type="spellEnd"/>
      <w:r w:rsidR="00D06186">
        <w:rPr>
          <w:i/>
          <w:iCs/>
          <w:color w:val="555555"/>
          <w:sz w:val="26"/>
          <w:szCs w:val="26"/>
        </w:rPr>
        <w:t xml:space="preserve"> First program i </w:t>
      </w:r>
      <w:proofErr w:type="spellStart"/>
      <w:r w:rsidR="00D06186">
        <w:rPr>
          <w:i/>
          <w:iCs/>
          <w:color w:val="555555"/>
          <w:sz w:val="26"/>
          <w:szCs w:val="26"/>
        </w:rPr>
        <w:t>tržisni</w:t>
      </w:r>
      <w:proofErr w:type="spellEnd"/>
      <w:r w:rsidR="00D06186">
        <w:rPr>
          <w:i/>
          <w:iCs/>
          <w:color w:val="555555"/>
          <w:sz w:val="26"/>
          <w:szCs w:val="26"/>
        </w:rPr>
        <w:t xml:space="preserve"> izazovi</w:t>
      </w:r>
    </w:p>
    <w:p w:rsidR="002C1764" w:rsidRDefault="0040052F">
      <w:pPr>
        <w:pStyle w:val="Naslov1"/>
      </w:pPr>
      <w:r>
        <w:t>1. Problem: stambena kriza i kontekst</w:t>
      </w:r>
    </w:p>
    <w:p w:rsidR="002C1764" w:rsidRDefault="0040052F">
      <w:pPr>
        <w:spacing w:before="80" w:after="120"/>
        <w:jc w:val="both"/>
      </w:pPr>
      <w:r>
        <w:t xml:space="preserve">Finska je zemlja s oko 5,6 milijuna stanovnika i jednom od najrazvijenijih stambenih politika u Europi. No put do tog statusa nije bio lak. Kao </w:t>
      </w:r>
      <w:r w:rsidR="00D06186">
        <w:t>i mnoge razvijene skandinavske drža</w:t>
      </w:r>
      <w:r>
        <w:t xml:space="preserve">ve, </w:t>
      </w:r>
      <w:r w:rsidR="00D06186">
        <w:t>Finska se od 1980-ih godina suoč</w:t>
      </w:r>
      <w:r>
        <w:t xml:space="preserve">avala s ozbiljnom stambenom krizom, posebno </w:t>
      </w:r>
      <w:r w:rsidR="00D06186">
        <w:t>u pogledu beskućništva i pristupač</w:t>
      </w:r>
      <w:r>
        <w:t>n</w:t>
      </w:r>
      <w:r w:rsidR="00D06186">
        <w:t>osti stanovanja u urbanim središ</w:t>
      </w:r>
      <w:r>
        <w:t>tima.</w:t>
      </w:r>
    </w:p>
    <w:p w:rsidR="002C1764" w:rsidRDefault="00D06186">
      <w:pPr>
        <w:spacing w:before="80" w:after="120"/>
        <w:jc w:val="both"/>
      </w:pPr>
      <w:r>
        <w:t>Helsinki, kao najveć</w:t>
      </w:r>
      <w:r w:rsidR="00F1717B">
        <w:t>i grad i ekonomsko središ</w:t>
      </w:r>
      <w:r w:rsidR="0040052F">
        <w:t>te, dom je za oko 670.000 stanov</w:t>
      </w:r>
      <w:r>
        <w:t>nika, dok metropolitansko područ</w:t>
      </w:r>
      <w:r w:rsidR="0040052F">
        <w:t>je broji 1,2 mili</w:t>
      </w:r>
      <w:r>
        <w:t>juna. Brz urbani rast, neelastič</w:t>
      </w:r>
      <w:r w:rsidR="0040052F">
        <w:t xml:space="preserve">na ponuda stanova i </w:t>
      </w:r>
      <w:r>
        <w:t xml:space="preserve"> izlož</w:t>
      </w:r>
      <w:r w:rsidR="0040052F">
        <w:t>eni neizvjesnosti.</w:t>
      </w:r>
    </w:p>
    <w:p w:rsidR="002C1764" w:rsidRDefault="0040052F">
      <w:pPr>
        <w:spacing w:before="80" w:after="120"/>
        <w:jc w:val="both"/>
      </w:pPr>
      <w:r>
        <w:t>Godine 1986., ka</w:t>
      </w:r>
      <w:r w:rsidR="00D06186">
        <w:t>da je Finska provela prvo istraživanje beskućniš</w:t>
      </w:r>
      <w:r>
        <w:t>tva, evide</w:t>
      </w:r>
      <w:r w:rsidR="00F1717B">
        <w:t>ntirano je viš</w:t>
      </w:r>
      <w:r w:rsidR="00D06186">
        <w:t>e od 18.000 beskuć</w:t>
      </w:r>
      <w:r w:rsidR="00F1717B">
        <w:t>nika u cijeloj zemlji. Viš</w:t>
      </w:r>
      <w:r>
        <w:t xml:space="preserve">e </w:t>
      </w:r>
      <w:r>
        <w:t>od 60 posto boravi</w:t>
      </w:r>
      <w:r w:rsidR="00D06186">
        <w:t>lo je u metropolitanskom područj</w:t>
      </w:r>
      <w:r>
        <w:t>u Helsinkija. Skandinavska klima s temperaturama koje zimi padaju ispod -20 s</w:t>
      </w:r>
      <w:r w:rsidR="00D06186">
        <w:t>tupnjeva Celzijusa taj problem č</w:t>
      </w:r>
      <w:r>
        <w:t>ini posebno hitnim.</w:t>
      </w:r>
    </w:p>
    <w:p w:rsidR="002C1764" w:rsidRDefault="00D06186">
      <w:pPr>
        <w:pStyle w:val="Naslov2"/>
      </w:pPr>
      <w:r>
        <w:t>Zaš</w:t>
      </w:r>
      <w:r w:rsidR="0040052F">
        <w:t>to je stam</w:t>
      </w:r>
      <w:r>
        <w:t>bena ponuda zaostajala za potraž</w:t>
      </w:r>
      <w:r w:rsidR="0040052F">
        <w:t>njom?</w:t>
      </w:r>
    </w:p>
    <w:p w:rsidR="002C1764" w:rsidRDefault="00D06186">
      <w:pPr>
        <w:spacing w:before="80" w:after="120"/>
        <w:jc w:val="both"/>
      </w:pPr>
      <w:r>
        <w:t>P</w:t>
      </w:r>
      <w:r w:rsidR="0040052F">
        <w:t>olitika gra</w:t>
      </w:r>
      <w:r>
        <w:t>dnje stanova usmjerena isključ</w:t>
      </w:r>
      <w:r w:rsidR="0040052F">
        <w:t>ivo na periferiju i nedostatak sustavnog pristupa socijalnom stanovanju dov</w:t>
      </w:r>
      <w:r>
        <w:t>eli su do strukturnih neravnotež</w:t>
      </w:r>
      <w:r w:rsidR="0040052F">
        <w:t>a. Do 2008. godine Fi</w:t>
      </w:r>
      <w:r>
        <w:t xml:space="preserve">nska je koristila tzv. </w:t>
      </w:r>
      <w:proofErr w:type="spellStart"/>
      <w:r>
        <w:t>ljestviča</w:t>
      </w:r>
      <w:r w:rsidR="0040052F">
        <w:t>sti</w:t>
      </w:r>
      <w:proofErr w:type="spellEnd"/>
      <w:r w:rsidR="0040052F">
        <w:t xml:space="preserve"> pristup (</w:t>
      </w:r>
      <w:proofErr w:type="spellStart"/>
      <w:r w:rsidR="0040052F">
        <w:t>staircase</w:t>
      </w:r>
      <w:proofErr w:type="spellEnd"/>
      <w:r w:rsidR="0040052F">
        <w:t xml:space="preserve"> model): osobe bez doma morale su ispuniti o</w:t>
      </w:r>
      <w:r>
        <w:t>dređ</w:t>
      </w:r>
      <w:r w:rsidR="0040052F">
        <w:t>ene u</w:t>
      </w:r>
      <w:r>
        <w:t>vjete (liječenje ovisnosti, rješ</w:t>
      </w:r>
      <w:r w:rsidR="0040052F">
        <w:t>avanje dugova) kako</w:t>
      </w:r>
      <w:r>
        <w:t xml:space="preserve"> bi napredovale do trajnog smješ</w:t>
      </w:r>
      <w:r w:rsidR="0040052F">
        <w:t>taja. Ovaj pristup je</w:t>
      </w:r>
      <w:r>
        <w:t xml:space="preserve"> do 1994. prepolovio broj beskuć</w:t>
      </w:r>
      <w:r w:rsidR="0040052F">
        <w:t>nika, no nakon t</w:t>
      </w:r>
      <w:r>
        <w:t>oga je napredak stagnirao. Između 2004. i 2008. broj pojedinačnih beskućnika kretao se izmeđ</w:t>
      </w:r>
      <w:r w:rsidR="0040052F">
        <w:t>u</w:t>
      </w:r>
      <w:r>
        <w:t xml:space="preserve"> 7.400 i 7.960 godiš</w:t>
      </w:r>
      <w:r w:rsidR="0040052F">
        <w:t>nje.</w:t>
      </w:r>
    </w:p>
    <w:p w:rsidR="005D4A68" w:rsidRDefault="005D4A68">
      <w:pPr>
        <w:spacing w:before="80" w:after="120"/>
        <w:jc w:val="both"/>
      </w:pPr>
    </w:p>
    <w:p w:rsidR="002C1764" w:rsidRDefault="0040052F">
      <w:pPr>
        <w:pStyle w:val="Naslov1"/>
      </w:pPr>
      <w:r>
        <w:t xml:space="preserve">2. Reforma: </w:t>
      </w:r>
      <w:proofErr w:type="spellStart"/>
      <w:r>
        <w:t>Housing</w:t>
      </w:r>
      <w:proofErr w:type="spellEnd"/>
      <w:r>
        <w:t xml:space="preserve"> First i stambeni programi (2008. - danas)</w:t>
      </w:r>
    </w:p>
    <w:p w:rsidR="005D4A68" w:rsidRDefault="00D06186">
      <w:pPr>
        <w:spacing w:before="80" w:after="120"/>
        <w:jc w:val="both"/>
      </w:pPr>
      <w:r>
        <w:t>Ključ</w:t>
      </w:r>
      <w:r w:rsidR="0040052F">
        <w:t>na prekretnica nastupi</w:t>
      </w:r>
      <w:r>
        <w:t>la je 2007. godine kada je tadaš</w:t>
      </w:r>
      <w:r w:rsidR="0040052F">
        <w:t xml:space="preserve">nji ministar stanovanja Jan </w:t>
      </w:r>
      <w:proofErr w:type="spellStart"/>
      <w:r w:rsidR="0040052F">
        <w:t>Vapaavuo</w:t>
      </w:r>
      <w:r>
        <w:t>ri</w:t>
      </w:r>
      <w:proofErr w:type="spellEnd"/>
      <w:r>
        <w:t xml:space="preserve"> osnovao radnu skupinu za rješavanje dugotrajnog beskućništva. Izvješ</w:t>
      </w:r>
      <w:r w:rsidR="0040052F">
        <w:t>taj</w:t>
      </w:r>
      <w:r w:rsidR="0040052F">
        <w:t xml:space="preserve"> "</w:t>
      </w:r>
      <w:proofErr w:type="spellStart"/>
      <w:r w:rsidR="0040052F">
        <w:t>Nimi</w:t>
      </w:r>
      <w:proofErr w:type="spellEnd"/>
      <w:r w:rsidR="0040052F">
        <w:t xml:space="preserve"> </w:t>
      </w:r>
      <w:proofErr w:type="spellStart"/>
      <w:r w:rsidR="0040052F">
        <w:t>ov</w:t>
      </w:r>
      <w:r>
        <w:t>essa</w:t>
      </w:r>
      <w:proofErr w:type="spellEnd"/>
      <w:r>
        <w:t>" (Ime na vratima) preporučio je uvođ</w:t>
      </w:r>
      <w:r w:rsidR="0040052F">
        <w:t xml:space="preserve">enje modela </w:t>
      </w:r>
      <w:proofErr w:type="spellStart"/>
      <w:r w:rsidR="0040052F">
        <w:t>Housing</w:t>
      </w:r>
      <w:proofErr w:type="spellEnd"/>
      <w:r w:rsidR="0040052F">
        <w:t xml:space="preserve"> First, a 2008. godine finska vlada pokrenula je prvu fazu programa.</w:t>
      </w:r>
    </w:p>
    <w:p w:rsidR="002C1764" w:rsidRDefault="00FE02B3">
      <w:pPr>
        <w:pStyle w:val="Naslov2"/>
      </w:pPr>
      <w:r>
        <w:t>Š</w:t>
      </w:r>
      <w:r w:rsidR="0040052F">
        <w:t xml:space="preserve">to je </w:t>
      </w:r>
      <w:proofErr w:type="spellStart"/>
      <w:r w:rsidR="0040052F">
        <w:t>Housing</w:t>
      </w:r>
      <w:proofErr w:type="spellEnd"/>
      <w:r w:rsidR="0040052F">
        <w:t xml:space="preserve"> First?</w:t>
      </w:r>
    </w:p>
    <w:p w:rsidR="002C1764" w:rsidRDefault="0040052F">
      <w:pPr>
        <w:spacing w:before="80" w:after="120"/>
        <w:jc w:val="both"/>
      </w:pPr>
      <w:proofErr w:type="spellStart"/>
      <w:r>
        <w:t>Ho</w:t>
      </w:r>
      <w:r w:rsidR="00D06186">
        <w:t>using</w:t>
      </w:r>
      <w:proofErr w:type="spellEnd"/>
      <w:r w:rsidR="00D06186">
        <w:t xml:space="preserve"> First je pristup koji obrć</w:t>
      </w:r>
      <w:r>
        <w:t>e logiku</w:t>
      </w:r>
      <w:r w:rsidR="00D06186">
        <w:t xml:space="preserve"> konvencionalnih programa pomoći beskuć</w:t>
      </w:r>
      <w:r>
        <w:t>nicima. Umjesto</w:t>
      </w:r>
      <w:r>
        <w:t xml:space="preserve"> da se od osoba bez doma za</w:t>
      </w:r>
      <w:r w:rsidR="00D06186">
        <w:t>htijeva da najprije ispune određ</w:t>
      </w:r>
      <w:r>
        <w:t xml:space="preserve">ene uvjete, </w:t>
      </w:r>
      <w:proofErr w:type="spellStart"/>
      <w:r>
        <w:t>Housing</w:t>
      </w:r>
      <w:proofErr w:type="spellEnd"/>
      <w:r>
        <w:t xml:space="preserve"> First im daje stan bez preduvje</w:t>
      </w:r>
      <w:r w:rsidR="00D06186">
        <w:t>ta. Socijalni radnici potom pružaju podrš</w:t>
      </w:r>
      <w:r>
        <w:t>ku u apliciranju za socijalne nak</w:t>
      </w:r>
      <w:r w:rsidR="00D06186">
        <w:t>nade, mentalnom zdravlju i zapoš</w:t>
      </w:r>
      <w:r>
        <w:t>ljavanju.</w:t>
      </w:r>
    </w:p>
    <w:p w:rsidR="002C1764" w:rsidRDefault="0040052F">
      <w:pPr>
        <w:spacing w:before="80" w:after="120"/>
        <w:jc w:val="both"/>
      </w:pPr>
      <w:r>
        <w:t>Filozofija je jednostavna: sta</w:t>
      </w:r>
      <w:r>
        <w:t>bilno stanovanje je</w:t>
      </w:r>
      <w:r w:rsidR="00D06186">
        <w:t xml:space="preserve"> preduvjet, a ne nagrada za rješavanje ži</w:t>
      </w:r>
      <w:r>
        <w:t>v</w:t>
      </w:r>
      <w:r w:rsidR="00D06186">
        <w:t>otnih problema. U sigurnom okruženju znatno je lakše suočiti se s ovisnošću, dugovima ili nezaposlenošću nego iz privremenog skloništ</w:t>
      </w:r>
      <w:r>
        <w:t>a.</w:t>
      </w:r>
    </w:p>
    <w:p w:rsidR="002C1764" w:rsidRDefault="0040052F">
      <w:pPr>
        <w:pStyle w:val="Naslov2"/>
      </w:pPr>
      <w:r>
        <w:lastRenderedPageBreak/>
        <w:t>Faze provedbe</w:t>
      </w:r>
    </w:p>
    <w:p w:rsidR="002C1764" w:rsidRDefault="0040052F">
      <w:pPr>
        <w:spacing w:before="80" w:after="120"/>
        <w:jc w:val="both"/>
      </w:pPr>
      <w:r>
        <w:t xml:space="preserve">Finska je provela </w:t>
      </w:r>
      <w:proofErr w:type="spellStart"/>
      <w:r>
        <w:t>Housing</w:t>
      </w:r>
      <w:proofErr w:type="spellEnd"/>
      <w:r>
        <w:t xml:space="preserve"> First politiku kroz</w:t>
      </w:r>
      <w:r w:rsidR="00D06186">
        <w:t xml:space="preserve"> č</w:t>
      </w:r>
      <w:r>
        <w:t>etiri uzastopna programa:</w:t>
      </w:r>
    </w:p>
    <w:p w:rsidR="002C1764" w:rsidRDefault="0040052F">
      <w:pPr>
        <w:pStyle w:val="Odlomakpopisa"/>
        <w:numPr>
          <w:ilvl w:val="0"/>
          <w:numId w:val="2"/>
        </w:numPr>
        <w:spacing w:before="60" w:after="60"/>
      </w:pPr>
      <w:r>
        <w:t>PAAVO I (</w:t>
      </w:r>
      <w:r w:rsidR="00D06186">
        <w:t>2008.-2011.): Pretvorba skloništ</w:t>
      </w:r>
      <w:r>
        <w:t xml:space="preserve">a u stanove </w:t>
      </w:r>
      <w:proofErr w:type="spellStart"/>
      <w:r>
        <w:t>Housing</w:t>
      </w:r>
      <w:proofErr w:type="spellEnd"/>
      <w:r>
        <w:t xml:space="preserve"> First; osnivanje 1.519 novih stambenih jedinica</w:t>
      </w:r>
    </w:p>
    <w:p w:rsidR="002C1764" w:rsidRDefault="00D06186">
      <w:pPr>
        <w:pStyle w:val="Odlomakpopisa"/>
        <w:numPr>
          <w:ilvl w:val="0"/>
          <w:numId w:val="2"/>
        </w:numPr>
        <w:spacing w:before="60" w:after="60"/>
      </w:pPr>
      <w:r>
        <w:t>PAAVO II (2012.-2015.): Proširenje programa i jača</w:t>
      </w:r>
      <w:r w:rsidR="0040052F">
        <w:t>nje preventivnih mjera</w:t>
      </w:r>
    </w:p>
    <w:p w:rsidR="002C1764" w:rsidRDefault="0040052F">
      <w:pPr>
        <w:pStyle w:val="Odlomakpopisa"/>
        <w:numPr>
          <w:ilvl w:val="0"/>
          <w:numId w:val="2"/>
        </w:numPr>
        <w:spacing w:before="60" w:after="60"/>
      </w:pPr>
      <w:r>
        <w:t>AUNE (2016.-2019.): Usmjeravanje na mjere prev</w:t>
      </w:r>
      <w:r>
        <w:t>e</w:t>
      </w:r>
      <w:r w:rsidR="00D06186">
        <w:t>ncije i smanjenje trajnog beskućniš</w:t>
      </w:r>
      <w:r>
        <w:t>tva</w:t>
      </w:r>
    </w:p>
    <w:p w:rsidR="002C1764" w:rsidRDefault="0040052F">
      <w:pPr>
        <w:pStyle w:val="Odlomakpopisa"/>
        <w:numPr>
          <w:ilvl w:val="0"/>
          <w:numId w:val="2"/>
        </w:numPr>
        <w:spacing w:before="60" w:after="60"/>
      </w:pPr>
      <w:r>
        <w:t>FINNISH HOUSING FIRST (2020.-danas</w:t>
      </w:r>
      <w:r w:rsidR="00D06186">
        <w:t>): Cilj potpunog ukidanja beskućništ</w:t>
      </w:r>
      <w:r>
        <w:t>va do 2027. godine</w:t>
      </w:r>
    </w:p>
    <w:p w:rsidR="002C1764" w:rsidRDefault="002C1764">
      <w:pPr>
        <w:spacing w:before="120"/>
      </w:pPr>
    </w:p>
    <w:p w:rsidR="002C1764" w:rsidRDefault="00F1717B">
      <w:pPr>
        <w:spacing w:before="80" w:after="120"/>
        <w:jc w:val="both"/>
      </w:pPr>
      <w:r>
        <w:t>Ključ</w:t>
      </w:r>
      <w:r w:rsidR="0040052F">
        <w:t>ni institucionalni akter u provedbi bio je ARA (Centar za financiranje i razvoj stanovanja), koji je od osnivanja 1986. do 2025. godine vod</w:t>
      </w:r>
      <w:r w:rsidR="00D06186">
        <w:t>io nacionalnu evidenciju beskućniš</w:t>
      </w:r>
      <w:r w:rsidR="0040052F">
        <w:t>tva i financijski p</w:t>
      </w:r>
      <w:r w:rsidR="00D06186">
        <w:t>odupirao socijalnu gradnju. U ož</w:t>
      </w:r>
      <w:r w:rsidR="0040052F">
        <w:t>ujku 2025. ARA je zamijenje</w:t>
      </w:r>
      <w:r w:rsidR="0040052F">
        <w:t>n agencijom Varke.</w:t>
      </w:r>
      <w:r w:rsidR="00D06186">
        <w:t xml:space="preserve"> Javna banka </w:t>
      </w:r>
      <w:proofErr w:type="spellStart"/>
      <w:r w:rsidR="00D06186">
        <w:t>Munifin</w:t>
      </w:r>
      <w:proofErr w:type="spellEnd"/>
      <w:r w:rsidR="00D06186">
        <w:t>, u vlasništvu države i opći</w:t>
      </w:r>
      <w:r w:rsidR="0040052F">
        <w:t>na, glavni je izvor kredita za socijalnu gradnju, a Zaklada Y (Y-</w:t>
      </w:r>
      <w:proofErr w:type="spellStart"/>
      <w:r w:rsidR="0040052F">
        <w:t>Foundation</w:t>
      </w:r>
      <w:proofErr w:type="spellEnd"/>
      <w:r w:rsidR="0040052F">
        <w:t>) je</w:t>
      </w:r>
      <w:r w:rsidR="00D06186">
        <w:t xml:space="preserve"> vodila pretvorbu starih skloniš</w:t>
      </w:r>
      <w:r w:rsidR="0040052F">
        <w:t xml:space="preserve">ta u stanove </w:t>
      </w:r>
      <w:proofErr w:type="spellStart"/>
      <w:r w:rsidR="0040052F">
        <w:t>Housing</w:t>
      </w:r>
      <w:proofErr w:type="spellEnd"/>
      <w:r w:rsidR="0040052F">
        <w:t xml:space="preserve"> First.</w:t>
      </w:r>
    </w:p>
    <w:p w:rsidR="002C1764" w:rsidRDefault="00D06186">
      <w:pPr>
        <w:pStyle w:val="Naslov1"/>
      </w:pPr>
      <w:r>
        <w:t>3. Rezultati: pad beskućniš</w:t>
      </w:r>
      <w:r w:rsidR="0040052F">
        <w:t>tva</w:t>
      </w:r>
    </w:p>
    <w:p w:rsidR="002C1764" w:rsidRDefault="0040052F">
      <w:pPr>
        <w:spacing w:before="80" w:after="120"/>
        <w:jc w:val="both"/>
      </w:pPr>
      <w:r>
        <w:t>Rezultati finske sta</w:t>
      </w:r>
      <w:r>
        <w:t>mbene po</w:t>
      </w:r>
      <w:r w:rsidR="00D06186">
        <w:t>litike su impresivni. U gotovo četiri desetljeć</w:t>
      </w:r>
      <w:r>
        <w:t>a od prvog mje</w:t>
      </w:r>
      <w:r w:rsidR="00D06186">
        <w:t>renja, Finska je smanjila beskućništ</w:t>
      </w:r>
      <w:r>
        <w:t>vo za oko 80 posto - s vise od 18.000 osoba u 1986. na svega 3.429 u 2023. godini. Ta je brojka posebno impresivna uzme li se u obzir da finska definic</w:t>
      </w:r>
      <w:r w:rsidR="00D06186">
        <w:t>ija beskućništva uključ</w:t>
      </w:r>
      <w:r>
        <w:t>uje i osobe koje privremeno borave kod prijatelja i</w:t>
      </w:r>
      <w:r w:rsidR="00D06186">
        <w:t>li rodbine zbog nedostatka smješ</w:t>
      </w:r>
      <w:r>
        <w:t>taja.</w:t>
      </w:r>
    </w:p>
    <w:p w:rsidR="002C1764" w:rsidRDefault="0040052F">
      <w:pPr>
        <w:spacing w:before="120" w:after="60"/>
        <w:jc w:val="center"/>
      </w:pPr>
      <w:r>
        <w:rPr>
          <w:noProof/>
        </w:rPr>
        <w:drawing>
          <wp:inline distT="0" distB="0" distL="0" distR="0">
            <wp:extent cx="4953000" cy="27146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4953000" cy="2714625"/>
                    </a:xfrm>
                    <a:prstGeom prst="rect">
                      <a:avLst/>
                    </a:prstGeom>
                  </pic:spPr>
                </pic:pic>
              </a:graphicData>
            </a:graphic>
          </wp:inline>
        </w:drawing>
      </w:r>
    </w:p>
    <w:p w:rsidR="002C1764" w:rsidRDefault="00976BFA">
      <w:pPr>
        <w:spacing w:before="60" w:after="160"/>
        <w:jc w:val="center"/>
      </w:pPr>
      <w:r>
        <w:rPr>
          <w:b/>
          <w:bCs/>
          <w:i/>
          <w:iCs/>
          <w:color w:val="333333"/>
          <w:sz w:val="19"/>
          <w:szCs w:val="19"/>
        </w:rPr>
        <w:t>Dijagram 1. Broj beskuć</w:t>
      </w:r>
      <w:r w:rsidR="0040052F">
        <w:rPr>
          <w:b/>
          <w:bCs/>
          <w:i/>
          <w:iCs/>
          <w:color w:val="333333"/>
          <w:sz w:val="19"/>
          <w:szCs w:val="19"/>
        </w:rPr>
        <w:t xml:space="preserve">nika u Finskoj, 1986.-2023. (Izvor: ARA/Varke, </w:t>
      </w:r>
      <w:proofErr w:type="spellStart"/>
      <w:r w:rsidR="0040052F">
        <w:rPr>
          <w:b/>
          <w:bCs/>
          <w:i/>
          <w:iCs/>
          <w:color w:val="333333"/>
          <w:sz w:val="19"/>
          <w:szCs w:val="19"/>
        </w:rPr>
        <w:t>Homelessness</w:t>
      </w:r>
      <w:proofErr w:type="spellEnd"/>
      <w:r w:rsidR="0040052F">
        <w:rPr>
          <w:b/>
          <w:bCs/>
          <w:i/>
          <w:iCs/>
          <w:color w:val="333333"/>
          <w:sz w:val="19"/>
          <w:szCs w:val="19"/>
        </w:rPr>
        <w:t xml:space="preserve"> </w:t>
      </w:r>
      <w:proofErr w:type="spellStart"/>
      <w:r w:rsidR="0040052F">
        <w:rPr>
          <w:b/>
          <w:bCs/>
          <w:i/>
          <w:iCs/>
          <w:color w:val="333333"/>
          <w:sz w:val="19"/>
          <w:szCs w:val="19"/>
        </w:rPr>
        <w:t>Reports</w:t>
      </w:r>
      <w:proofErr w:type="spellEnd"/>
      <w:r w:rsidR="0040052F">
        <w:rPr>
          <w:b/>
          <w:bCs/>
          <w:i/>
          <w:iCs/>
          <w:color w:val="333333"/>
          <w:sz w:val="19"/>
          <w:szCs w:val="19"/>
        </w:rPr>
        <w:t>)</w:t>
      </w:r>
    </w:p>
    <w:p w:rsidR="00976BFA" w:rsidRDefault="00976BFA" w:rsidP="00D06186">
      <w:pPr>
        <w:spacing w:before="80" w:after="120"/>
        <w:jc w:val="both"/>
      </w:pPr>
      <w:r>
        <w:t xml:space="preserve">Dugotrajno </w:t>
      </w:r>
      <w:r>
        <w:rPr>
          <w:rStyle w:val="Naglaeno"/>
        </w:rPr>
        <w:t>beskućništvo</w:t>
      </w:r>
      <w:r>
        <w:t xml:space="preserve"> smanjilo se za oko 70 pos</w:t>
      </w:r>
      <w:r>
        <w:t>to između 2008. i 2024. godine -</w:t>
      </w:r>
      <w:r>
        <w:t xml:space="preserve"> s procijenjenih 3.500 osoba na oko 1.000. Broj </w:t>
      </w:r>
      <w:r>
        <w:rPr>
          <w:rStyle w:val="Naglaeno"/>
        </w:rPr>
        <w:t>beskućnika</w:t>
      </w:r>
      <w:r>
        <w:t xml:space="preserve"> koji borave u hostelima i prenoćištima pao je za 76 posto između 2008. i 2017. Država godišnje uštedi 15.000 eura po osobi kao rezultat smanjene potražnje za hitnim smještajem.</w:t>
      </w:r>
    </w:p>
    <w:p w:rsidR="00F1717B" w:rsidRDefault="00F1717B" w:rsidP="00D06186">
      <w:pPr>
        <w:spacing w:before="80" w:after="120"/>
        <w:jc w:val="both"/>
      </w:pPr>
    </w:p>
    <w:p w:rsidR="00F1717B" w:rsidRDefault="00F1717B" w:rsidP="00D06186">
      <w:pPr>
        <w:spacing w:before="80" w:after="120"/>
        <w:jc w:val="both"/>
      </w:pPr>
    </w:p>
    <w:p w:rsidR="00F1717B" w:rsidRDefault="00F1717B" w:rsidP="00D06186">
      <w:pPr>
        <w:spacing w:before="80" w:after="120"/>
        <w:jc w:val="both"/>
      </w:pPr>
    </w:p>
    <w:p w:rsidR="002C1764" w:rsidRDefault="00F1717B">
      <w:pPr>
        <w:pStyle w:val="Naslov2"/>
      </w:pPr>
      <w:r>
        <w:lastRenderedPageBreak/>
        <w:t>Ključ</w:t>
      </w:r>
      <w:r w:rsidR="0040052F">
        <w:t>ni pokazatelji uspjeha</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400"/>
        <w:gridCol w:w="3600"/>
      </w:tblGrid>
      <w:tr w:rsidR="002C1764">
        <w:tblPrEx>
          <w:tblCellMar>
            <w:top w:w="0" w:type="dxa"/>
            <w:bottom w:w="0" w:type="dxa"/>
          </w:tblCellMar>
        </w:tblPrEx>
        <w:trPr>
          <w:tblHeader/>
        </w:trPr>
        <w:tc>
          <w:tcPr>
            <w:tcW w:w="54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t>Pokazatelj</w:t>
            </w:r>
          </w:p>
        </w:tc>
        <w:tc>
          <w:tcPr>
            <w:tcW w:w="36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t>Vrijednost</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976BFA">
            <w:r>
              <w:rPr>
                <w:sz w:val="20"/>
                <w:szCs w:val="20"/>
              </w:rPr>
              <w:t>Smanjenje broja beskuć</w:t>
            </w:r>
            <w:r w:rsidR="0040052F">
              <w:rPr>
                <w:sz w:val="20"/>
                <w:szCs w:val="20"/>
              </w:rPr>
              <w:t>nika 1986.-2023.</w:t>
            </w:r>
          </w:p>
        </w:tc>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-81% (18.000 -&gt; 3.429)</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976BFA">
            <w:r>
              <w:rPr>
                <w:sz w:val="20"/>
                <w:szCs w:val="20"/>
              </w:rPr>
              <w:t>Smanjenje dugotrajnog beskućniš</w:t>
            </w:r>
            <w:r w:rsidR="0040052F">
              <w:rPr>
                <w:sz w:val="20"/>
                <w:szCs w:val="20"/>
              </w:rPr>
              <w:t>tva 2008.-2024.</w:t>
            </w:r>
          </w:p>
        </w:tc>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-70%</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976BFA">
            <w:r>
              <w:rPr>
                <w:sz w:val="20"/>
                <w:szCs w:val="20"/>
              </w:rPr>
              <w:t>Pad broja beskuć</w:t>
            </w:r>
            <w:r w:rsidR="0040052F">
              <w:rPr>
                <w:sz w:val="20"/>
                <w:szCs w:val="20"/>
              </w:rPr>
              <w:t>nika u hostelima 2008.-2017.</w:t>
            </w:r>
          </w:p>
        </w:tc>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-76%</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976BFA">
            <w:r>
              <w:rPr>
                <w:sz w:val="20"/>
                <w:szCs w:val="20"/>
              </w:rPr>
              <w:t>Ušteda na hitnim smješt</w:t>
            </w:r>
            <w:r w:rsidR="0040052F">
              <w:rPr>
                <w:sz w:val="20"/>
                <w:szCs w:val="20"/>
              </w:rPr>
              <w:t>ajima po osobi/god.</w:t>
            </w:r>
          </w:p>
        </w:tc>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15.000 EUR</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 xml:space="preserve">Stanovi osigurani kroz </w:t>
            </w:r>
            <w:proofErr w:type="spellStart"/>
            <w:r>
              <w:rPr>
                <w:sz w:val="20"/>
                <w:szCs w:val="20"/>
              </w:rPr>
              <w:t>Housing</w:t>
            </w:r>
            <w:proofErr w:type="spellEnd"/>
            <w:r>
              <w:rPr>
                <w:sz w:val="20"/>
                <w:szCs w:val="20"/>
              </w:rPr>
              <w:t xml:space="preserve"> First (10 god.)</w:t>
            </w:r>
          </w:p>
        </w:tc>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566021">
            <w:r>
              <w:rPr>
                <w:sz w:val="20"/>
                <w:szCs w:val="20"/>
              </w:rPr>
              <w:t>viš</w:t>
            </w:r>
            <w:bookmarkStart w:id="0" w:name="_GoBack"/>
            <w:bookmarkEnd w:id="0"/>
            <w:r w:rsidR="0040052F">
              <w:rPr>
                <w:sz w:val="20"/>
                <w:szCs w:val="20"/>
              </w:rPr>
              <w:t>e od 4.600</w:t>
            </w:r>
          </w:p>
        </w:tc>
      </w:tr>
      <w:tr w:rsidR="002C1764">
        <w:tblPrEx>
          <w:tblCellMar>
            <w:top w:w="0" w:type="dxa"/>
            <w:bottom w:w="0" w:type="dxa"/>
          </w:tblCellMar>
        </w:tblPrEx>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976BFA">
            <w:r>
              <w:rPr>
                <w:sz w:val="20"/>
                <w:szCs w:val="20"/>
              </w:rPr>
              <w:t>Udio koji zadržava stan dugoroč</w:t>
            </w:r>
            <w:r w:rsidR="0040052F">
              <w:rPr>
                <w:sz w:val="20"/>
                <w:szCs w:val="20"/>
              </w:rPr>
              <w:t>no</w:t>
            </w:r>
          </w:p>
        </w:tc>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4 od 5 osoba (80%)</w:t>
            </w:r>
          </w:p>
        </w:tc>
      </w:tr>
    </w:tbl>
    <w:p w:rsidR="002C1764" w:rsidRDefault="002C1764">
      <w:pPr>
        <w:spacing w:before="120"/>
      </w:pPr>
    </w:p>
    <w:p w:rsidR="002C1764" w:rsidRDefault="00976BFA">
      <w:pPr>
        <w:spacing w:before="40" w:after="100"/>
        <w:jc w:val="both"/>
      </w:pPr>
      <w:r>
        <w:rPr>
          <w:i/>
          <w:iCs/>
          <w:color w:val="555555"/>
          <w:sz w:val="20"/>
          <w:szCs w:val="20"/>
        </w:rPr>
        <w:t>Napomena: Finska i dalje bilježi beskućništvo - u 2024. godini doš</w:t>
      </w:r>
      <w:r w:rsidR="0040052F">
        <w:rPr>
          <w:i/>
          <w:iCs/>
          <w:color w:val="555555"/>
          <w:sz w:val="20"/>
          <w:szCs w:val="20"/>
        </w:rPr>
        <w:t>lo</w:t>
      </w:r>
      <w:r>
        <w:rPr>
          <w:i/>
          <w:iCs/>
          <w:color w:val="555555"/>
          <w:sz w:val="20"/>
          <w:szCs w:val="20"/>
        </w:rPr>
        <w:t xml:space="preserve"> je do prvog porasta u desetljeć</w:t>
      </w:r>
      <w:r w:rsidR="0040052F">
        <w:rPr>
          <w:i/>
          <w:iCs/>
          <w:color w:val="555555"/>
          <w:sz w:val="20"/>
          <w:szCs w:val="20"/>
        </w:rPr>
        <w:t>u (+377 osoba).</w:t>
      </w:r>
      <w:r>
        <w:rPr>
          <w:i/>
          <w:iCs/>
          <w:color w:val="555555"/>
          <w:sz w:val="20"/>
          <w:szCs w:val="20"/>
        </w:rPr>
        <w:t xml:space="preserve"> Problem nije u potpunosti riješen, ali je dramatič</w:t>
      </w:r>
      <w:r w:rsidR="0040052F">
        <w:rPr>
          <w:i/>
          <w:iCs/>
          <w:color w:val="555555"/>
          <w:sz w:val="20"/>
          <w:szCs w:val="20"/>
        </w:rPr>
        <w:t>no smanjen.</w:t>
      </w:r>
    </w:p>
    <w:p w:rsidR="002C1764" w:rsidRDefault="0040052F">
      <w:pPr>
        <w:pStyle w:val="Naslov1"/>
      </w:pPr>
      <w:r>
        <w:t>4. Stambena gradnja: trendovi i izazovi</w:t>
      </w:r>
    </w:p>
    <w:p w:rsidR="002C1764" w:rsidRDefault="0040052F">
      <w:pPr>
        <w:spacing w:before="80" w:after="120"/>
        <w:jc w:val="both"/>
      </w:pPr>
      <w:r>
        <w:t xml:space="preserve">Paralelno s </w:t>
      </w:r>
      <w:proofErr w:type="spellStart"/>
      <w:r>
        <w:t>Housing</w:t>
      </w:r>
      <w:proofErr w:type="spellEnd"/>
      <w:r>
        <w:t xml:space="preserve"> First programom, </w:t>
      </w:r>
      <w:r w:rsidR="00F1717B">
        <w:t>Finska je pratila i ši</w:t>
      </w:r>
      <w:r>
        <w:t>re tren</w:t>
      </w:r>
      <w:r w:rsidR="00976BFA">
        <w:t>dove u stambenoj gradnji. Izmeđ</w:t>
      </w:r>
      <w:r>
        <w:t>u</w:t>
      </w:r>
      <w:r w:rsidR="00976BFA">
        <w:t xml:space="preserve"> 2015. i 2022. broj izdanih građ</w:t>
      </w:r>
      <w:r>
        <w:t xml:space="preserve">evinskih dozvola za stambene objekte kretao </w:t>
      </w:r>
      <w:r w:rsidR="00976BFA">
        <w:t>se između 33.000 i 42.000 godišnje, sto je odražavalo snažni urbani rast i potraž</w:t>
      </w:r>
      <w:r>
        <w:t>nju za stanovima.</w:t>
      </w:r>
    </w:p>
    <w:p w:rsidR="002C1764" w:rsidRDefault="0040052F">
      <w:pPr>
        <w:spacing w:before="120" w:after="60"/>
        <w:jc w:val="center"/>
      </w:pPr>
      <w:r>
        <w:rPr>
          <w:noProof/>
        </w:rPr>
        <w:drawing>
          <wp:inline distT="0" distB="0" distL="0" distR="0">
            <wp:extent cx="4953000" cy="271462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4953000" cy="2714625"/>
                    </a:xfrm>
                    <a:prstGeom prst="rect">
                      <a:avLst/>
                    </a:prstGeom>
                  </pic:spPr>
                </pic:pic>
              </a:graphicData>
            </a:graphic>
          </wp:inline>
        </w:drawing>
      </w:r>
    </w:p>
    <w:p w:rsidR="002C1764" w:rsidRDefault="0040052F">
      <w:pPr>
        <w:spacing w:before="60" w:after="160"/>
        <w:jc w:val="center"/>
      </w:pPr>
      <w:r>
        <w:rPr>
          <w:b/>
          <w:bCs/>
          <w:i/>
          <w:iCs/>
          <w:color w:val="333333"/>
          <w:sz w:val="19"/>
          <w:szCs w:val="19"/>
        </w:rPr>
        <w:t>Dijagram 2. Broj</w:t>
      </w:r>
      <w:r w:rsidR="00976BFA">
        <w:rPr>
          <w:b/>
          <w:bCs/>
          <w:i/>
          <w:iCs/>
          <w:color w:val="333333"/>
          <w:sz w:val="19"/>
          <w:szCs w:val="19"/>
        </w:rPr>
        <w:t xml:space="preserve"> izdanih građ</w:t>
      </w:r>
      <w:r>
        <w:rPr>
          <w:b/>
          <w:bCs/>
          <w:i/>
          <w:iCs/>
          <w:color w:val="333333"/>
          <w:sz w:val="19"/>
          <w:szCs w:val="19"/>
        </w:rPr>
        <w:t xml:space="preserve">evinskih dozvola za stambene objekte u Finskoj, 2015.-2023. (Izvor: </w:t>
      </w:r>
      <w:proofErr w:type="spellStart"/>
      <w:r>
        <w:rPr>
          <w:b/>
          <w:bCs/>
          <w:i/>
          <w:iCs/>
          <w:color w:val="333333"/>
          <w:sz w:val="19"/>
          <w:szCs w:val="19"/>
        </w:rPr>
        <w:t>Statistics</w:t>
      </w:r>
      <w:proofErr w:type="spellEnd"/>
      <w:r>
        <w:rPr>
          <w:b/>
          <w:bCs/>
          <w:i/>
          <w:iCs/>
          <w:color w:val="333333"/>
          <w:sz w:val="19"/>
          <w:szCs w:val="19"/>
        </w:rPr>
        <w:t xml:space="preserve"> </w:t>
      </w:r>
      <w:proofErr w:type="spellStart"/>
      <w:r>
        <w:rPr>
          <w:b/>
          <w:bCs/>
          <w:i/>
          <w:iCs/>
          <w:color w:val="333333"/>
          <w:sz w:val="19"/>
          <w:szCs w:val="19"/>
        </w:rPr>
        <w:t>Finland</w:t>
      </w:r>
      <w:proofErr w:type="spellEnd"/>
      <w:r>
        <w:rPr>
          <w:b/>
          <w:bCs/>
          <w:i/>
          <w:iCs/>
          <w:color w:val="333333"/>
          <w:sz w:val="19"/>
          <w:szCs w:val="19"/>
        </w:rPr>
        <w:t>)</w:t>
      </w:r>
    </w:p>
    <w:p w:rsidR="002C1764" w:rsidRDefault="00976BFA">
      <w:pPr>
        <w:spacing w:before="80" w:after="120"/>
        <w:jc w:val="both"/>
      </w:pPr>
      <w:r>
        <w:t>Međutim, 2023. godine došlo je do dramatič</w:t>
      </w:r>
      <w:r w:rsidR="0040052F">
        <w:t xml:space="preserve">nog pada: broj dozvola iznosio je svega oko 22.000 - pad od vise od 45 posto u samo jednoj godini. Razlog: nagli </w:t>
      </w:r>
      <w:r w:rsidR="0040052F">
        <w:t>rast kamatnih stopa Europske sredi</w:t>
      </w:r>
      <w:r>
        <w:t>šnje banke od 2022. koji je značajno povisio troš</w:t>
      </w:r>
      <w:r w:rsidR="0040052F">
        <w:t>kove financir</w:t>
      </w:r>
      <w:r>
        <w:t>anja gradnje. Krajem 2023. i poč</w:t>
      </w:r>
      <w:r w:rsidR="0040052F">
        <w:t>etkom 2024. broj dozvola za stambene objek</w:t>
      </w:r>
      <w:r>
        <w:t>te padao je 45-52 posto na godiš</w:t>
      </w:r>
      <w:r w:rsidR="0040052F">
        <w:t>njoj razini.</w:t>
      </w:r>
    </w:p>
    <w:p w:rsidR="00F1717B" w:rsidRDefault="00F1717B">
      <w:pPr>
        <w:spacing w:before="80" w:after="120"/>
        <w:jc w:val="both"/>
      </w:pPr>
    </w:p>
    <w:p w:rsidR="00F1717B" w:rsidRDefault="00F1717B">
      <w:pPr>
        <w:spacing w:before="80" w:after="120"/>
        <w:jc w:val="both"/>
      </w:pPr>
    </w:p>
    <w:p w:rsidR="00F1717B" w:rsidRDefault="00F1717B">
      <w:pPr>
        <w:spacing w:before="80" w:after="120"/>
        <w:jc w:val="both"/>
      </w:pPr>
    </w:p>
    <w:p w:rsidR="00F1717B" w:rsidRDefault="00F1717B">
      <w:pPr>
        <w:spacing w:before="80" w:after="120"/>
        <w:jc w:val="both"/>
      </w:pPr>
    </w:p>
    <w:p w:rsidR="002C1764" w:rsidRDefault="0040052F">
      <w:pPr>
        <w:pStyle w:val="Naslov2"/>
      </w:pPr>
      <w:r>
        <w:lastRenderedPageBreak/>
        <w:t>ARA socijalna gradnja</w:t>
      </w:r>
    </w:p>
    <w:p w:rsidR="00976BFA" w:rsidRPr="00976BFA" w:rsidRDefault="00976BFA" w:rsidP="00976BFA">
      <w:pPr>
        <w:pStyle w:val="StandardWeb"/>
        <w:rPr>
          <w:rFonts w:ascii="Arial" w:hAnsi="Arial" w:cs="Arial"/>
          <w:sz w:val="22"/>
        </w:rPr>
      </w:pPr>
      <w:r w:rsidRPr="00976BFA">
        <w:rPr>
          <w:rFonts w:ascii="Arial" w:hAnsi="Arial" w:cs="Arial"/>
          <w:sz w:val="22"/>
        </w:rPr>
        <w:t xml:space="preserve">Finska je kroz ARA program imala razvijen sustav subvencioniranog socijalnog stanovanja. ARA je osiguravala financijske garancije, kamatne subvencije i dotacije za energetsku obnovu. Između 2015. i 2021. izgrađeno je 110.000 stambenih jedinica samo u metropolitanskom području Helsinkija i gradu </w:t>
      </w:r>
      <w:proofErr w:type="spellStart"/>
      <w:r w:rsidRPr="00976BFA">
        <w:rPr>
          <w:rFonts w:ascii="Arial" w:hAnsi="Arial" w:cs="Arial"/>
          <w:sz w:val="22"/>
        </w:rPr>
        <w:t>Tampere</w:t>
      </w:r>
      <w:proofErr w:type="spellEnd"/>
      <w:r w:rsidRPr="00976BFA">
        <w:rPr>
          <w:rFonts w:ascii="Arial" w:hAnsi="Arial" w:cs="Arial"/>
          <w:sz w:val="22"/>
        </w:rPr>
        <w:t xml:space="preserve"> – što čini 43 posto ukupne stambene gradnje u cijeloj Finskoj u tom razdoblju.</w:t>
      </w:r>
    </w:p>
    <w:p w:rsidR="00976BFA" w:rsidRPr="00976BFA" w:rsidRDefault="00976BFA" w:rsidP="00976BFA">
      <w:pPr>
        <w:pStyle w:val="StandardWeb"/>
        <w:rPr>
          <w:rFonts w:ascii="Arial" w:hAnsi="Arial" w:cs="Arial"/>
          <w:sz w:val="22"/>
        </w:rPr>
      </w:pPr>
      <w:r w:rsidRPr="00976BFA">
        <w:rPr>
          <w:rFonts w:ascii="Arial" w:hAnsi="Arial" w:cs="Arial"/>
          <w:sz w:val="22"/>
        </w:rPr>
        <w:t xml:space="preserve">Međutim, nova gradnja bila je sve više usmjerena prema malim </w:t>
      </w:r>
      <w:proofErr w:type="spellStart"/>
      <w:r w:rsidRPr="00976BFA">
        <w:rPr>
          <w:rFonts w:ascii="Arial" w:hAnsi="Arial" w:cs="Arial"/>
          <w:sz w:val="22"/>
        </w:rPr>
        <w:t>slobodnotržišnim</w:t>
      </w:r>
      <w:proofErr w:type="spellEnd"/>
      <w:r w:rsidRPr="00976BFA">
        <w:rPr>
          <w:rFonts w:ascii="Arial" w:hAnsi="Arial" w:cs="Arial"/>
          <w:sz w:val="22"/>
        </w:rPr>
        <w:t xml:space="preserve"> stanovima za najam, dok je udio klasičnog socijalnog stanovanja opadao. Nordea procjenjuje da su stambeni troškovi Finaca porasli za 25 posto u usporedbi s 2020., dok su plaće u istom razdoblju porasle samo oko 12 posto.</w:t>
      </w:r>
    </w:p>
    <w:p w:rsidR="002C1764" w:rsidRDefault="0040052F">
      <w:pPr>
        <w:pStyle w:val="Naslov1"/>
      </w:pPr>
      <w:r>
        <w:t xml:space="preserve">5. Struktura </w:t>
      </w:r>
      <w:r w:rsidR="00976BFA">
        <w:t>stambenog fonda i oblici vlasniš</w:t>
      </w:r>
      <w:r>
        <w:t>tva</w:t>
      </w:r>
    </w:p>
    <w:p w:rsidR="002C1764" w:rsidRDefault="00976BFA">
      <w:pPr>
        <w:spacing w:before="80" w:after="120"/>
        <w:jc w:val="both"/>
      </w:pPr>
      <w:r>
        <w:t>Finska stambena tržiš</w:t>
      </w:r>
      <w:r w:rsidR="0040052F">
        <w:t>na struktura k</w:t>
      </w:r>
      <w:r>
        <w:t>ombinira tržišno vlasniš</w:t>
      </w:r>
      <w:r w:rsidR="0040052F">
        <w:t>tvo, slobodni najam, subvencionirani ARA na</w:t>
      </w:r>
      <w:r>
        <w:t>jam i poseban model "prava koriš</w:t>
      </w:r>
      <w:r w:rsidR="0040052F">
        <w:t>tenja" (</w:t>
      </w:r>
      <w:proofErr w:type="spellStart"/>
      <w:r w:rsidR="0040052F">
        <w:t>right-of-occupancy</w:t>
      </w:r>
      <w:proofErr w:type="spellEnd"/>
      <w:r>
        <w:t>). Na kraju 2023. u Finskoj je ž</w:t>
      </w:r>
      <w:r w:rsidR="0040052F">
        <w:t>ivjelo 3,75 milijuna osoba u vlastitim stanovima, a 1,58 milijuna u unajmljenim.</w:t>
      </w:r>
    </w:p>
    <w:p w:rsidR="002C1764" w:rsidRDefault="0040052F">
      <w:pPr>
        <w:spacing w:before="120" w:after="60"/>
        <w:jc w:val="center"/>
      </w:pPr>
      <w:r>
        <w:rPr>
          <w:noProof/>
        </w:rPr>
        <w:drawing>
          <wp:inline distT="0" distB="0" distL="0" distR="0">
            <wp:extent cx="4381500" cy="29527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4381500" cy="2952750"/>
                    </a:xfrm>
                    <a:prstGeom prst="rect">
                      <a:avLst/>
                    </a:prstGeom>
                  </pic:spPr>
                </pic:pic>
              </a:graphicData>
            </a:graphic>
          </wp:inline>
        </w:drawing>
      </w:r>
    </w:p>
    <w:p w:rsidR="002C1764" w:rsidRDefault="0040052F">
      <w:pPr>
        <w:spacing w:before="60" w:after="160"/>
        <w:jc w:val="center"/>
      </w:pPr>
      <w:r>
        <w:rPr>
          <w:b/>
          <w:bCs/>
          <w:i/>
          <w:iCs/>
          <w:color w:val="333333"/>
          <w:sz w:val="19"/>
          <w:szCs w:val="19"/>
        </w:rPr>
        <w:t>Dijagram 3. Stru</w:t>
      </w:r>
      <w:r>
        <w:rPr>
          <w:b/>
          <w:bCs/>
          <w:i/>
          <w:iCs/>
          <w:color w:val="333333"/>
          <w:sz w:val="19"/>
          <w:szCs w:val="19"/>
        </w:rPr>
        <w:t>ktura stambenog fond</w:t>
      </w:r>
      <w:r w:rsidR="00976BFA">
        <w:rPr>
          <w:b/>
          <w:bCs/>
          <w:i/>
          <w:iCs/>
          <w:color w:val="333333"/>
          <w:sz w:val="19"/>
          <w:szCs w:val="19"/>
        </w:rPr>
        <w:t>a u Finskoj prema obliku vlasniš</w:t>
      </w:r>
      <w:r>
        <w:rPr>
          <w:b/>
          <w:bCs/>
          <w:i/>
          <w:iCs/>
          <w:color w:val="333333"/>
          <w:sz w:val="19"/>
          <w:szCs w:val="19"/>
        </w:rPr>
        <w:t xml:space="preserve">tva (2023.) (Izvor: </w:t>
      </w:r>
      <w:proofErr w:type="spellStart"/>
      <w:r>
        <w:rPr>
          <w:b/>
          <w:bCs/>
          <w:i/>
          <w:iCs/>
          <w:color w:val="333333"/>
          <w:sz w:val="19"/>
          <w:szCs w:val="19"/>
        </w:rPr>
        <w:t>Statistics</w:t>
      </w:r>
      <w:proofErr w:type="spellEnd"/>
      <w:r>
        <w:rPr>
          <w:b/>
          <w:bCs/>
          <w:i/>
          <w:iCs/>
          <w:color w:val="333333"/>
          <w:sz w:val="19"/>
          <w:szCs w:val="19"/>
        </w:rPr>
        <w:t xml:space="preserve"> </w:t>
      </w:r>
      <w:proofErr w:type="spellStart"/>
      <w:r>
        <w:rPr>
          <w:b/>
          <w:bCs/>
          <w:i/>
          <w:iCs/>
          <w:color w:val="333333"/>
          <w:sz w:val="19"/>
          <w:szCs w:val="19"/>
        </w:rPr>
        <w:t>Finland</w:t>
      </w:r>
      <w:proofErr w:type="spellEnd"/>
      <w:r>
        <w:rPr>
          <w:b/>
          <w:bCs/>
          <w:i/>
          <w:iCs/>
          <w:color w:val="333333"/>
          <w:sz w:val="19"/>
          <w:szCs w:val="19"/>
        </w:rPr>
        <w:t>, KOVA/</w:t>
      </w:r>
      <w:proofErr w:type="spellStart"/>
      <w:r>
        <w:rPr>
          <w:b/>
          <w:bCs/>
          <w:i/>
          <w:iCs/>
          <w:color w:val="333333"/>
          <w:sz w:val="19"/>
          <w:szCs w:val="19"/>
        </w:rPr>
        <w:t>Housing</w:t>
      </w:r>
      <w:proofErr w:type="spellEnd"/>
      <w:r>
        <w:rPr>
          <w:b/>
          <w:bCs/>
          <w:i/>
          <w:iCs/>
          <w:color w:val="333333"/>
          <w:sz w:val="19"/>
          <w:szCs w:val="19"/>
        </w:rPr>
        <w:t xml:space="preserve"> Europe 2025)</w:t>
      </w:r>
    </w:p>
    <w:p w:rsidR="002C1764" w:rsidRDefault="00976BFA">
      <w:pPr>
        <w:spacing w:before="80" w:after="120"/>
        <w:jc w:val="both"/>
      </w:pPr>
      <w:r>
        <w:t>Udio kuć</w:t>
      </w:r>
      <w:r w:rsidR="0040052F">
        <w:t>a</w:t>
      </w:r>
      <w:r>
        <w:t>nstva koji ži</w:t>
      </w:r>
      <w:r w:rsidR="0040052F">
        <w:t>ve u unajmljenom stanovanju porastao je s 31,5 posto 2014. na 36 posto 2024. god</w:t>
      </w:r>
      <w:r>
        <w:t>ine, sto odražava rastuću potraž</w:t>
      </w:r>
      <w:r w:rsidR="0040052F">
        <w:t>nju</w:t>
      </w:r>
      <w:r w:rsidR="0040052F">
        <w:t xml:space="preserve"> za najmom - osob</w:t>
      </w:r>
      <w:r>
        <w:t>ito među mladim generacijama. Čak 82 posto kuć</w:t>
      </w:r>
      <w:r w:rsidR="0040052F">
        <w:t>a</w:t>
      </w:r>
      <w:r>
        <w:t>nstva mladih ispod 30 godina ži</w:t>
      </w:r>
      <w:r w:rsidR="0040052F">
        <w:t>vi u najmu.</w:t>
      </w:r>
    </w:p>
    <w:p w:rsidR="005D4A68" w:rsidRDefault="005D4A68">
      <w:pPr>
        <w:spacing w:before="80" w:after="120"/>
        <w:jc w:val="both"/>
      </w:pPr>
    </w:p>
    <w:p w:rsidR="002C1764" w:rsidRDefault="0040052F">
      <w:pPr>
        <w:pStyle w:val="Naslov2"/>
      </w:pPr>
      <w:r>
        <w:t>Socijalno stanovanje i posebne grupe</w:t>
      </w:r>
    </w:p>
    <w:p w:rsidR="002C1764" w:rsidRDefault="0040052F">
      <w:pPr>
        <w:spacing w:before="80" w:after="120"/>
        <w:jc w:val="both"/>
      </w:pPr>
      <w:r>
        <w:t>ARA je osiguravala dostupnost stanovanja za posebne grupe: studente (studentski domovi), osobe s invaliditetom</w:t>
      </w:r>
      <w:r w:rsidR="00976BFA">
        <w:t xml:space="preserve"> i beskuć</w:t>
      </w:r>
      <w:r>
        <w:t>nike. Vlada je</w:t>
      </w:r>
      <w:r w:rsidR="00976BFA">
        <w:t xml:space="preserve"> 2025. ukinula model prava koriš</w:t>
      </w:r>
      <w:r>
        <w:t>tenja bez jasne alternative, s</w:t>
      </w:r>
      <w:r w:rsidR="00976BFA">
        <w:t>to je izazvalo zabrinutost struč</w:t>
      </w:r>
      <w:r>
        <w:t>njaka.</w:t>
      </w:r>
    </w:p>
    <w:p w:rsidR="00F1717B" w:rsidRDefault="00F1717B">
      <w:pPr>
        <w:spacing w:before="80" w:after="120"/>
        <w:jc w:val="both"/>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200"/>
        <w:gridCol w:w="3200"/>
      </w:tblGrid>
      <w:tr w:rsidR="002C1764">
        <w:tblPrEx>
          <w:tblCellMar>
            <w:top w:w="0" w:type="dxa"/>
            <w:bottom w:w="0" w:type="dxa"/>
          </w:tblCellMar>
        </w:tblPrEx>
        <w:trPr>
          <w:tblHeader/>
        </w:trPr>
        <w:tc>
          <w:tcPr>
            <w:tcW w:w="36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lastRenderedPageBreak/>
              <w:t>Oblik stanovanja</w:t>
            </w:r>
          </w:p>
        </w:tc>
        <w:tc>
          <w:tcPr>
            <w:tcW w:w="22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t>Udio</w:t>
            </w:r>
          </w:p>
        </w:tc>
        <w:tc>
          <w:tcPr>
            <w:tcW w:w="32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t>Populacija (</w:t>
            </w:r>
            <w:proofErr w:type="spellStart"/>
            <w:r>
              <w:rPr>
                <w:b/>
                <w:bCs/>
                <w:color w:val="FFFFFF"/>
                <w:sz w:val="20"/>
                <w:szCs w:val="20"/>
              </w:rPr>
              <w:t>pribl</w:t>
            </w:r>
            <w:proofErr w:type="spellEnd"/>
            <w:r>
              <w:rPr>
                <w:b/>
                <w:bCs/>
                <w:color w:val="FFFFFF"/>
                <w:sz w:val="20"/>
                <w:szCs w:val="20"/>
              </w:rPr>
              <w:t>.)</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976BFA">
            <w:r>
              <w:rPr>
                <w:sz w:val="20"/>
                <w:szCs w:val="20"/>
              </w:rPr>
              <w:t>Vlasniš</w:t>
            </w:r>
            <w:r w:rsidR="0040052F">
              <w:rPr>
                <w:sz w:val="20"/>
                <w:szCs w:val="20"/>
              </w:rPr>
              <w:t>tvo</w:t>
            </w:r>
          </w:p>
        </w:tc>
        <w:tc>
          <w:tcPr>
            <w:tcW w:w="22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62%</w:t>
            </w:r>
          </w:p>
        </w:tc>
        <w:tc>
          <w:tcPr>
            <w:tcW w:w="32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 xml:space="preserve">3,75 </w:t>
            </w:r>
            <w:proofErr w:type="spellStart"/>
            <w:r>
              <w:rPr>
                <w:sz w:val="20"/>
                <w:szCs w:val="20"/>
              </w:rPr>
              <w:t>mil</w:t>
            </w:r>
            <w:proofErr w:type="spellEnd"/>
            <w:r>
              <w:rPr>
                <w:sz w:val="20"/>
                <w:szCs w:val="20"/>
              </w:rPr>
              <w:t>. osoba</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976BFA">
            <w:r>
              <w:rPr>
                <w:sz w:val="20"/>
                <w:szCs w:val="20"/>
              </w:rPr>
              <w:t>Slobodni tržiš</w:t>
            </w:r>
            <w:r w:rsidR="0040052F">
              <w:rPr>
                <w:sz w:val="20"/>
                <w:szCs w:val="20"/>
              </w:rPr>
              <w:t>ni najam</w:t>
            </w:r>
          </w:p>
        </w:tc>
        <w:tc>
          <w:tcPr>
            <w:tcW w:w="22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26%</w:t>
            </w:r>
          </w:p>
        </w:tc>
        <w:tc>
          <w:tcPr>
            <w:tcW w:w="32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 xml:space="preserve">1,58 </w:t>
            </w:r>
            <w:proofErr w:type="spellStart"/>
            <w:r>
              <w:rPr>
                <w:sz w:val="20"/>
                <w:szCs w:val="20"/>
              </w:rPr>
              <w:t>mil</w:t>
            </w:r>
            <w:proofErr w:type="spellEnd"/>
            <w:r>
              <w:rPr>
                <w:sz w:val="20"/>
                <w:szCs w:val="20"/>
              </w:rPr>
              <w:t>. osoba</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ARA subvencionirani najam</w:t>
            </w:r>
          </w:p>
        </w:tc>
        <w:tc>
          <w:tcPr>
            <w:tcW w:w="22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10%</w:t>
            </w:r>
          </w:p>
        </w:tc>
        <w:tc>
          <w:tcPr>
            <w:tcW w:w="32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oko 600.000</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976BFA">
            <w:r>
              <w:rPr>
                <w:sz w:val="20"/>
                <w:szCs w:val="20"/>
              </w:rPr>
              <w:t>Pravo koriš</w:t>
            </w:r>
            <w:r w:rsidR="0040052F">
              <w:rPr>
                <w:sz w:val="20"/>
                <w:szCs w:val="20"/>
              </w:rPr>
              <w:t>tenja i ostalo</w:t>
            </w:r>
          </w:p>
        </w:tc>
        <w:tc>
          <w:tcPr>
            <w:tcW w:w="22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3%</w:t>
            </w:r>
          </w:p>
        </w:tc>
        <w:tc>
          <w:tcPr>
            <w:tcW w:w="32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oko 180.000</w:t>
            </w:r>
          </w:p>
        </w:tc>
      </w:tr>
    </w:tbl>
    <w:p w:rsidR="002C1764" w:rsidRDefault="002C1764">
      <w:pPr>
        <w:spacing w:before="120"/>
      </w:pPr>
    </w:p>
    <w:p w:rsidR="00976BFA" w:rsidRDefault="00976BFA">
      <w:pPr>
        <w:spacing w:before="120"/>
      </w:pPr>
    </w:p>
    <w:p w:rsidR="002C1764" w:rsidRDefault="0040052F">
      <w:pPr>
        <w:pStyle w:val="Naslov1"/>
      </w:pPr>
      <w:r>
        <w:t>6. Utjecaj na cijene i najamnine</w:t>
      </w:r>
    </w:p>
    <w:p w:rsidR="002C1764" w:rsidRDefault="00976BFA">
      <w:pPr>
        <w:pStyle w:val="Naslov2"/>
      </w:pPr>
      <w:r>
        <w:t>Kratkoročni i srednjoroč</w:t>
      </w:r>
      <w:r w:rsidR="0040052F">
        <w:t>ni trendovi</w:t>
      </w:r>
    </w:p>
    <w:p w:rsidR="002C1764" w:rsidRDefault="0040052F">
      <w:pPr>
        <w:spacing w:before="80" w:after="120"/>
        <w:jc w:val="both"/>
      </w:pPr>
      <w:r>
        <w:t>Indeks cijena najma u Finskoj postupno je rastao od 2015. do 2023. - s baznih 100 do oko 110,6</w:t>
      </w:r>
      <w:r w:rsidR="00976BFA">
        <w:t xml:space="preserve"> bodova. Rast je bio nešto izraž</w:t>
      </w:r>
      <w:r>
        <w:t xml:space="preserve">eniji u </w:t>
      </w:r>
      <w:proofErr w:type="spellStart"/>
      <w:r>
        <w:t>helsinskoj</w:t>
      </w:r>
      <w:proofErr w:type="spellEnd"/>
      <w:r>
        <w:t xml:space="preserve"> regiji. Br</w:t>
      </w:r>
      <w:r w:rsidR="00976BFA">
        <w:t>zi rast inflacije najma zabilj</w:t>
      </w:r>
      <w:r>
        <w:t>e</w:t>
      </w:r>
      <w:r w:rsidR="00976BFA">
        <w:t>že</w:t>
      </w:r>
      <w:r>
        <w:t>n 2022.-2023. usporio je u 2024. godini i u Q4 2025. iznosio je sveg</w:t>
      </w:r>
      <w:r w:rsidR="00976BFA">
        <w:t>a 0,4 posto na godiš</w:t>
      </w:r>
      <w:r>
        <w:t>njoj razini.</w:t>
      </w:r>
    </w:p>
    <w:p w:rsidR="002C1764" w:rsidRDefault="0040052F">
      <w:pPr>
        <w:spacing w:before="120" w:after="60"/>
        <w:jc w:val="center"/>
      </w:pPr>
      <w:r>
        <w:rPr>
          <w:noProof/>
        </w:rPr>
        <w:drawing>
          <wp:inline distT="0" distB="0" distL="0" distR="0">
            <wp:extent cx="4953000" cy="2714625"/>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4953000" cy="2714625"/>
                    </a:xfrm>
                    <a:prstGeom prst="rect">
                      <a:avLst/>
                    </a:prstGeom>
                  </pic:spPr>
                </pic:pic>
              </a:graphicData>
            </a:graphic>
          </wp:inline>
        </w:drawing>
      </w:r>
    </w:p>
    <w:p w:rsidR="002C1764" w:rsidRDefault="0040052F">
      <w:pPr>
        <w:spacing w:before="60" w:after="160"/>
        <w:jc w:val="center"/>
      </w:pPr>
      <w:r>
        <w:rPr>
          <w:b/>
          <w:bCs/>
          <w:i/>
          <w:iCs/>
          <w:color w:val="333333"/>
          <w:sz w:val="19"/>
          <w:szCs w:val="19"/>
        </w:rPr>
        <w:t xml:space="preserve">Dijagram 4. Indeks cijena najma u Finskoj, 2015.-2024. (Izvor: </w:t>
      </w:r>
      <w:proofErr w:type="spellStart"/>
      <w:r>
        <w:rPr>
          <w:b/>
          <w:bCs/>
          <w:i/>
          <w:iCs/>
          <w:color w:val="333333"/>
          <w:sz w:val="19"/>
          <w:szCs w:val="19"/>
        </w:rPr>
        <w:t>Statistics</w:t>
      </w:r>
      <w:proofErr w:type="spellEnd"/>
      <w:r>
        <w:rPr>
          <w:b/>
          <w:bCs/>
          <w:i/>
          <w:iCs/>
          <w:color w:val="333333"/>
          <w:sz w:val="19"/>
          <w:szCs w:val="19"/>
        </w:rPr>
        <w:t xml:space="preserve"> </w:t>
      </w:r>
      <w:proofErr w:type="spellStart"/>
      <w:r>
        <w:rPr>
          <w:b/>
          <w:bCs/>
          <w:i/>
          <w:iCs/>
          <w:color w:val="333333"/>
          <w:sz w:val="19"/>
          <w:szCs w:val="19"/>
        </w:rPr>
        <w:t>Finland</w:t>
      </w:r>
      <w:proofErr w:type="spellEnd"/>
      <w:r>
        <w:rPr>
          <w:b/>
          <w:bCs/>
          <w:i/>
          <w:iCs/>
          <w:color w:val="333333"/>
          <w:sz w:val="19"/>
          <w:szCs w:val="19"/>
        </w:rPr>
        <w:t>, OECD)</w:t>
      </w:r>
    </w:p>
    <w:p w:rsidR="002C1764" w:rsidRDefault="0040052F">
      <w:pPr>
        <w:spacing w:before="80" w:after="120"/>
        <w:jc w:val="both"/>
      </w:pPr>
      <w:r>
        <w:t>Posebno je zanimljivo da ARA (subvencionirani)</w:t>
      </w:r>
      <w:r w:rsidR="00976BFA">
        <w:t xml:space="preserve"> najam raste brze od </w:t>
      </w:r>
      <w:proofErr w:type="spellStart"/>
      <w:r w:rsidR="00976BFA">
        <w:t>slobodnotržiš</w:t>
      </w:r>
      <w:r>
        <w:t>nog</w:t>
      </w:r>
      <w:proofErr w:type="spellEnd"/>
      <w:r>
        <w:t>: u Q4 2025. ARA najam rastao je 2,9 posto, dok j</w:t>
      </w:r>
      <w:r w:rsidR="00976BFA">
        <w:t>e slobodni tržiš</w:t>
      </w:r>
      <w:r>
        <w:t>ni najam pao za 0,9 posto</w:t>
      </w:r>
      <w:r w:rsidR="00976BFA">
        <w:t>. U Helsinkiju je slobodni tržiš</w:t>
      </w:r>
      <w:r>
        <w:t>ni najam pao za 1,3 posto, sto ukazuje na preko</w:t>
      </w:r>
      <w:r w:rsidR="00976BFA">
        <w:t>mjernu ponudu na slobodnom tržiš</w:t>
      </w:r>
      <w:r>
        <w:t>tu.</w:t>
      </w:r>
    </w:p>
    <w:p w:rsidR="005D4A68" w:rsidRDefault="005D4A68">
      <w:pPr>
        <w:spacing w:before="80" w:after="120"/>
        <w:jc w:val="both"/>
      </w:pPr>
    </w:p>
    <w:p w:rsidR="002C1764" w:rsidRDefault="0040052F">
      <w:pPr>
        <w:pStyle w:val="Naslov2"/>
      </w:pPr>
      <w:r>
        <w:t>Cjenovni pritisci i dostupnost</w:t>
      </w:r>
    </w:p>
    <w:p w:rsidR="002C1764" w:rsidRDefault="00976BFA">
      <w:pPr>
        <w:spacing w:before="80" w:after="120"/>
        <w:jc w:val="both"/>
      </w:pPr>
      <w:r>
        <w:t>Cijene nekretnina doži</w:t>
      </w:r>
      <w:r w:rsidR="0040052F">
        <w:t>vjele su turbulencije: nagli rast kamatnih stop</w:t>
      </w:r>
      <w:r w:rsidR="0040052F">
        <w:t>a 2022.-2023. uzrokovao je pad cijena starih stanova i gotovo zaustavljanje</w:t>
      </w:r>
      <w:r>
        <w:t xml:space="preserve"> prodaje novih. Nordea predviđa</w:t>
      </w:r>
      <w:r w:rsidR="0040052F">
        <w:t xml:space="preserve"> umjeren oporavak - rast od 2,5 posto u 2025. Transakcije se postupno opora</w:t>
      </w:r>
      <w:r>
        <w:t>vljaju; u travnju 2024. zabiljež</w:t>
      </w:r>
      <w:r w:rsidR="0040052F">
        <w:t>e</w:t>
      </w:r>
      <w:r>
        <w:t>n je porast od 10 posto na godiš</w:t>
      </w:r>
      <w:r w:rsidR="0040052F">
        <w:t>njoj razi</w:t>
      </w:r>
      <w:r w:rsidR="0040052F">
        <w:t>ni.</w:t>
      </w:r>
    </w:p>
    <w:p w:rsidR="00F1717B" w:rsidRDefault="00F1717B">
      <w:pPr>
        <w:spacing w:before="80" w:after="120"/>
        <w:jc w:val="both"/>
      </w:pPr>
    </w:p>
    <w:p w:rsidR="00F1717B" w:rsidRDefault="00F1717B">
      <w:pPr>
        <w:spacing w:before="80" w:after="120"/>
        <w:jc w:val="both"/>
      </w:pPr>
    </w:p>
    <w:p w:rsidR="002C1764" w:rsidRDefault="0040052F">
      <w:pPr>
        <w:pStyle w:val="Naslov1"/>
      </w:pPr>
      <w:r>
        <w:lastRenderedPageBreak/>
        <w:t>7. Kompaktni grad i urbana politika</w:t>
      </w:r>
    </w:p>
    <w:p w:rsidR="00976BFA" w:rsidRPr="00976BFA" w:rsidRDefault="00976BFA" w:rsidP="00976BFA">
      <w:pPr>
        <w:pStyle w:val="StandardWeb"/>
        <w:rPr>
          <w:rFonts w:ascii="Arial" w:hAnsi="Arial" w:cs="Arial"/>
          <w:sz w:val="22"/>
        </w:rPr>
      </w:pPr>
      <w:r w:rsidRPr="00976BFA">
        <w:rPr>
          <w:rFonts w:ascii="Arial" w:hAnsi="Arial" w:cs="Arial"/>
          <w:sz w:val="22"/>
        </w:rPr>
        <w:t xml:space="preserve">Finska stambena politika nije samo pitanje socijalnih programa – ona je i strateška urbana politika. Osobito u </w:t>
      </w:r>
      <w:proofErr w:type="spellStart"/>
      <w:r w:rsidRPr="00976BFA">
        <w:rPr>
          <w:rFonts w:ascii="Arial" w:hAnsi="Arial" w:cs="Arial"/>
          <w:sz w:val="22"/>
        </w:rPr>
        <w:t>helsinskom</w:t>
      </w:r>
      <w:proofErr w:type="spellEnd"/>
      <w:r w:rsidRPr="00976BFA">
        <w:rPr>
          <w:rFonts w:ascii="Arial" w:hAnsi="Arial" w:cs="Arial"/>
          <w:sz w:val="22"/>
        </w:rPr>
        <w:t xml:space="preserve"> metropolitanskom području, MAL sporazumi (sporazumi o prostornom uređenju, stanovanju i prometu) postavljaju ciljeve za regionalnu suradnju i zgušnjavanje gradova.</w:t>
      </w:r>
    </w:p>
    <w:p w:rsidR="00976BFA" w:rsidRDefault="00976BFA" w:rsidP="00976BFA">
      <w:pPr>
        <w:pStyle w:val="StandardWeb"/>
        <w:rPr>
          <w:rFonts w:ascii="Arial" w:hAnsi="Arial" w:cs="Arial"/>
          <w:sz w:val="22"/>
        </w:rPr>
      </w:pPr>
      <w:r w:rsidRPr="00976BFA">
        <w:rPr>
          <w:rFonts w:ascii="Arial" w:hAnsi="Arial" w:cs="Arial"/>
          <w:sz w:val="22"/>
        </w:rPr>
        <w:t>Finski gradovi prepoznaju prednosti kompaktnijeg urbanog oblika: manji ugljični otisak po stanovniku, niži troškovi infrastrukture po kućanstvu, bolja dostupnost javnog prijevoza i više sadržaja u blizini. No segregacija je rastući problem. Istraživači upozoravaju da politika smanjenja segregacije postaje sve teža jer nova socijalna gradnja opada, a privatni tržišni stanovi se koncentriraju u skupljem segmentu.</w:t>
      </w:r>
    </w:p>
    <w:p w:rsidR="00976BFA" w:rsidRPr="00976BFA" w:rsidRDefault="00976BFA" w:rsidP="00976BFA">
      <w:pPr>
        <w:pStyle w:val="StandardWeb"/>
        <w:rPr>
          <w:rFonts w:ascii="Arial" w:hAnsi="Arial" w:cs="Arial"/>
          <w:sz w:val="22"/>
        </w:rPr>
      </w:pPr>
    </w:p>
    <w:p w:rsidR="002C1764" w:rsidRDefault="0040052F">
      <w:pPr>
        <w:pStyle w:val="Naslov1"/>
      </w:pPr>
      <w:r>
        <w:t>8. Kritike i aktualni izazovi</w:t>
      </w:r>
    </w:p>
    <w:p w:rsidR="002C1764" w:rsidRDefault="00976BFA">
      <w:pPr>
        <w:pStyle w:val="Naslov2"/>
      </w:pPr>
      <w:r>
        <w:t>"Tržiš</w:t>
      </w:r>
      <w:r w:rsidR="0040052F">
        <w:t>ne mjere nisu dovoljne"</w:t>
      </w:r>
    </w:p>
    <w:p w:rsidR="00FE02B3" w:rsidRDefault="0040052F" w:rsidP="00976BFA">
      <w:pPr>
        <w:spacing w:before="80" w:after="120"/>
        <w:jc w:val="both"/>
      </w:pPr>
      <w:r>
        <w:t>J</w:t>
      </w:r>
      <w:r w:rsidR="00976BFA">
        <w:t xml:space="preserve">edan od najčešćih prigovora jest da sam </w:t>
      </w:r>
      <w:proofErr w:type="spellStart"/>
      <w:r w:rsidR="00976BFA">
        <w:t>Housing</w:t>
      </w:r>
      <w:proofErr w:type="spellEnd"/>
      <w:r w:rsidR="00976BFA">
        <w:t xml:space="preserve"> First model, bez dovoljne javne stambene ponude, ne može riješiti problem dostupnosti stanovanja za srednji sloj. Kritičari smatraju da je potrebna kombinirana politika koja uključuje direktnu državnu gradnju, regulaciju tržišnog najma i aktivniju zemljišnu politiku.</w:t>
      </w:r>
    </w:p>
    <w:p w:rsidR="00FE02B3" w:rsidRDefault="00FE02B3" w:rsidP="00976BFA">
      <w:pPr>
        <w:spacing w:before="80" w:after="120"/>
        <w:jc w:val="both"/>
      </w:pPr>
    </w:p>
    <w:p w:rsidR="002C1764" w:rsidRDefault="00FE02B3" w:rsidP="00976BFA">
      <w:pPr>
        <w:spacing w:before="80" w:after="120"/>
        <w:jc w:val="both"/>
      </w:pPr>
      <w:r>
        <w:rPr>
          <w:b/>
          <w:bCs/>
          <w:color w:val="1A237E"/>
          <w:sz w:val="26"/>
          <w:szCs w:val="26"/>
        </w:rPr>
        <w:t>Politič</w:t>
      </w:r>
      <w:r w:rsidR="0040052F">
        <w:rPr>
          <w:b/>
          <w:bCs/>
          <w:color w:val="1A237E"/>
          <w:sz w:val="26"/>
          <w:szCs w:val="26"/>
        </w:rPr>
        <w:t>ki zaokret: nova konzervativna vlada</w:t>
      </w:r>
    </w:p>
    <w:p w:rsidR="00FE02B3" w:rsidRDefault="00FE02B3" w:rsidP="00FE02B3">
      <w:pPr>
        <w:spacing w:before="80" w:after="120"/>
        <w:jc w:val="both"/>
      </w:pPr>
      <w:r>
        <w:t>Od 2023. godine na vlasti je desno-konzervativna koalicija koja je objavila rez u financiranju socijalnog stanovanja. Vlada planira smanjiti gradnju i financiranje ARA programa, uvesti testove prihoda za stanare socijalnih stanova, a pravo korištenja stana ukida se bez jasne alternative. Stručnjaci upozoravaju da ove mjere mogu pogoršati pristupačnost i ubrzati segregaciju.</w:t>
      </w:r>
    </w:p>
    <w:p w:rsidR="00FE02B3" w:rsidRDefault="00FE02B3" w:rsidP="00FE02B3">
      <w:pPr>
        <w:spacing w:before="80" w:after="120"/>
        <w:jc w:val="both"/>
      </w:pPr>
    </w:p>
    <w:p w:rsidR="002C1764" w:rsidRDefault="00F1717B" w:rsidP="00FE02B3">
      <w:pPr>
        <w:spacing w:before="80" w:after="120"/>
        <w:jc w:val="both"/>
      </w:pPr>
      <w:r>
        <w:rPr>
          <w:b/>
          <w:bCs/>
          <w:color w:val="1A237E"/>
          <w:sz w:val="26"/>
          <w:szCs w:val="26"/>
        </w:rPr>
        <w:t>Kamatni š</w:t>
      </w:r>
      <w:r w:rsidR="0040052F">
        <w:rPr>
          <w:b/>
          <w:bCs/>
          <w:color w:val="1A237E"/>
          <w:sz w:val="26"/>
          <w:szCs w:val="26"/>
        </w:rPr>
        <w:t>ok i pad gradnje</w:t>
      </w:r>
    </w:p>
    <w:p w:rsidR="002C1764" w:rsidRDefault="0040052F">
      <w:pPr>
        <w:spacing w:before="80" w:after="120"/>
        <w:jc w:val="both"/>
      </w:pPr>
      <w:r>
        <w:t>N</w:t>
      </w:r>
      <w:r>
        <w:t xml:space="preserve">agli </w:t>
      </w:r>
      <w:r w:rsidR="00FE02B3">
        <w:t>rast kamatnih stopa od 2022. nanio je teške udarce finskom graditeljskom sektoru. S obzirom na to da je većina finskih stambenih kredita varijabilno kamatna, rast kamatnih stopa ECB-a izravno je pogodio troškove gradnje i potražnju. Pad dozvola od 45–52 posto u 2023. godini predstavlja ozbiljan strukturni problem za dugoročnu stambenu ponudu.</w:t>
      </w:r>
    </w:p>
    <w:p w:rsidR="002C1764" w:rsidRDefault="0040052F">
      <w:pPr>
        <w:pStyle w:val="Naslov2"/>
      </w:pPr>
      <w:r>
        <w:t>"Ima dovoljno kapaciteta u planovima"</w:t>
      </w:r>
    </w:p>
    <w:p w:rsidR="002C1764" w:rsidRDefault="00FE02B3">
      <w:pPr>
        <w:spacing w:before="80" w:after="120"/>
        <w:jc w:val="both"/>
      </w:pPr>
      <w:r>
        <w:t>U</w:t>
      </w:r>
      <w:r>
        <w:t xml:space="preserve"> Finskoj postoji rasprava o tome je li planski stambeni kapacitet na papiru ekvivalentan stvarnom razvojnom potencijalu. Gradnja se uvijek koncentrira tamo gdje je potražnja i gdje su prihodi investitora najveći – što znači da papirni kapaciteti u perifernim područjima ne rješavaju nedostatak pristupačnih stanova u urbanim središtima.</w:t>
      </w:r>
    </w:p>
    <w:p w:rsidR="005D4A68" w:rsidRDefault="005D4A68">
      <w:pPr>
        <w:spacing w:before="80" w:after="120"/>
        <w:jc w:val="both"/>
      </w:pPr>
    </w:p>
    <w:p w:rsidR="005D4A68" w:rsidRDefault="005D4A68">
      <w:pPr>
        <w:spacing w:before="80" w:after="120"/>
        <w:jc w:val="both"/>
      </w:pPr>
    </w:p>
    <w:p w:rsidR="005D4A68" w:rsidRDefault="005D4A68">
      <w:pPr>
        <w:spacing w:before="80" w:after="120"/>
        <w:jc w:val="both"/>
      </w:pPr>
    </w:p>
    <w:p w:rsidR="005D4A68" w:rsidRDefault="005D4A68">
      <w:pPr>
        <w:spacing w:before="80" w:after="120"/>
        <w:jc w:val="both"/>
      </w:pPr>
    </w:p>
    <w:p w:rsidR="002C1764" w:rsidRDefault="00FE02B3">
      <w:pPr>
        <w:pStyle w:val="Naslov1"/>
      </w:pPr>
      <w:r>
        <w:lastRenderedPageBreak/>
        <w:t>9. Zaključ</w:t>
      </w:r>
      <w:r w:rsidR="0040052F">
        <w:t>ak</w:t>
      </w:r>
    </w:p>
    <w:p w:rsidR="002C1764" w:rsidRDefault="00FE02B3">
      <w:pPr>
        <w:spacing w:before="80" w:after="120"/>
        <w:jc w:val="both"/>
      </w:pPr>
      <w:r>
        <w:t>Iskustvo Finske pruž</w:t>
      </w:r>
      <w:r w:rsidR="0040052F">
        <w:t>a vrijedne uvide za stambenu politiku. Zemlja je po</w:t>
      </w:r>
      <w:r w:rsidR="0040052F">
        <w:t>stigla izvanr</w:t>
      </w:r>
      <w:r>
        <w:t>edan napredak u smanjenju beskućniš</w:t>
      </w:r>
      <w:r w:rsidR="0040052F">
        <w:t>tv</w:t>
      </w:r>
      <w:r>
        <w:t>a kroz sustavni, dugotrajno održ</w:t>
      </w:r>
      <w:r w:rsidR="0040052F">
        <w:t xml:space="preserve">avani </w:t>
      </w:r>
      <w:proofErr w:type="spellStart"/>
      <w:r w:rsidR="0040052F">
        <w:t>Housing</w:t>
      </w:r>
      <w:proofErr w:type="spellEnd"/>
      <w:r w:rsidR="0040052F">
        <w:t xml:space="preserve"> First model koji je obuhvatio cijelu naciju. Rezultati govore sami za sebe: 80 pos</w:t>
      </w:r>
      <w:r>
        <w:t>to manje beskućnika od 1986., uš</w:t>
      </w:r>
      <w:r w:rsidR="0040052F">
        <w:t>te</w:t>
      </w:r>
      <w:r>
        <w:t>de od 15.000 eura po osobi godiš</w:t>
      </w:r>
      <w:r w:rsidR="0040052F">
        <w:t>nje, te 4 od</w:t>
      </w:r>
      <w:r w:rsidR="0040052F">
        <w:t xml:space="preserve"> 5 korisnika</w:t>
      </w:r>
      <w:r>
        <w:t xml:space="preserve"> koji dugoročno zadržavaju stan.</w:t>
      </w:r>
    </w:p>
    <w:p w:rsidR="002C1764" w:rsidRDefault="00FE02B3">
      <w:pPr>
        <w:spacing w:before="80" w:after="120"/>
        <w:jc w:val="both"/>
      </w:pPr>
      <w:r>
        <w:t>Međutim, Finska se i dalje suoč</w:t>
      </w:r>
      <w:r w:rsidR="0040052F">
        <w:t xml:space="preserve">ava s izazovima: rastom cijena stanovanja, </w:t>
      </w:r>
      <w:r>
        <w:t>padom socijalne gradnje, politič</w:t>
      </w:r>
      <w:r w:rsidR="0040052F">
        <w:t>kim zaokretom prema smanj</w:t>
      </w:r>
      <w:r>
        <w:t>enju javnih intervencija, rastuć</w:t>
      </w:r>
      <w:r w:rsidR="0040052F">
        <w:t>im segr</w:t>
      </w:r>
      <w:r>
        <w:t>egacijskim pritiscima i dramatič</w:t>
      </w:r>
      <w:r w:rsidR="0040052F">
        <w:t>nim padom</w:t>
      </w:r>
      <w:r>
        <w:t xml:space="preserve"> građ</w:t>
      </w:r>
      <w:r w:rsidR="0040052F">
        <w:t>evinskih dozvola u 2023. Ovi izazovi pokazuju da cak i najnapredniji sustavi nisu imu</w:t>
      </w:r>
      <w:r>
        <w:t>ni na ekonomske sokove i politič</w:t>
      </w:r>
      <w:r w:rsidR="0040052F">
        <w:t>ke promjene.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400"/>
      </w:tblGrid>
      <w:tr w:rsidR="002C1764">
        <w:tblPrEx>
          <w:tblCellMar>
            <w:top w:w="0" w:type="dxa"/>
            <w:bottom w:w="0" w:type="dxa"/>
          </w:tblCellMar>
        </w:tblPrEx>
        <w:trPr>
          <w:tblHeader/>
        </w:trPr>
        <w:tc>
          <w:tcPr>
            <w:tcW w:w="36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40052F">
            <w:pPr>
              <w:jc w:val="center"/>
            </w:pPr>
            <w:r>
              <w:rPr>
                <w:b/>
                <w:bCs/>
                <w:color w:val="FFFFFF"/>
                <w:sz w:val="20"/>
                <w:szCs w:val="20"/>
              </w:rPr>
              <w:t>Tema</w:t>
            </w:r>
          </w:p>
        </w:tc>
        <w:tc>
          <w:tcPr>
            <w:tcW w:w="5400" w:type="dxa"/>
            <w:tcBorders>
              <w:top w:val="single" w:sz="4" w:space="0" w:color="BBDEFB"/>
              <w:left w:val="single" w:sz="4" w:space="0" w:color="BBDEFB"/>
              <w:bottom w:val="single" w:sz="4" w:space="0" w:color="BBDEFB"/>
              <w:right w:val="single" w:sz="4" w:space="0" w:color="BBDEFB"/>
            </w:tcBorders>
            <w:shd w:val="clear" w:color="auto" w:fill="1565C0"/>
            <w:tcMar>
              <w:top w:w="80" w:type="dxa"/>
              <w:left w:w="120" w:type="dxa"/>
              <w:bottom w:w="80" w:type="dxa"/>
              <w:right w:w="120" w:type="dxa"/>
            </w:tcMar>
          </w:tcPr>
          <w:p w:rsidR="002C1764" w:rsidRDefault="00FE02B3">
            <w:pPr>
              <w:jc w:val="center"/>
            </w:pPr>
            <w:r>
              <w:rPr>
                <w:b/>
                <w:bCs/>
                <w:color w:val="FFFFFF"/>
                <w:sz w:val="20"/>
                <w:szCs w:val="20"/>
              </w:rPr>
              <w:t>Zaključ</w:t>
            </w:r>
            <w:r w:rsidR="0040052F">
              <w:rPr>
                <w:b/>
                <w:bCs/>
                <w:color w:val="FFFFFF"/>
                <w:sz w:val="20"/>
                <w:szCs w:val="20"/>
              </w:rPr>
              <w:t>ak</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FE02B3">
            <w:r>
              <w:rPr>
                <w:sz w:val="20"/>
                <w:szCs w:val="20"/>
              </w:rPr>
              <w:t>Beskućniš</w:t>
            </w:r>
            <w:r w:rsidR="0040052F">
              <w:rPr>
                <w:sz w:val="20"/>
                <w:szCs w:val="20"/>
              </w:rPr>
              <w:t>tvo</w:t>
            </w:r>
          </w:p>
        </w:tc>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 xml:space="preserve">Smanjeno za 81% od 1986.; </w:t>
            </w:r>
            <w:proofErr w:type="spellStart"/>
            <w:r>
              <w:rPr>
                <w:sz w:val="20"/>
                <w:szCs w:val="20"/>
              </w:rPr>
              <w:t>Housing</w:t>
            </w:r>
            <w:proofErr w:type="spellEnd"/>
            <w:r>
              <w:rPr>
                <w:sz w:val="20"/>
                <w:szCs w:val="20"/>
              </w:rPr>
              <w:t xml:space="preserve"> First prog</w:t>
            </w:r>
            <w:r w:rsidR="00FE02B3">
              <w:rPr>
                <w:sz w:val="20"/>
                <w:szCs w:val="20"/>
              </w:rPr>
              <w:t>ram prepolovio dugotrajno beskućništ</w:t>
            </w:r>
            <w:r>
              <w:rPr>
                <w:sz w:val="20"/>
                <w:szCs w:val="20"/>
              </w:rPr>
              <w:t>vo od 2008.</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Gradnja</w:t>
            </w:r>
          </w:p>
        </w:tc>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FE02B3">
            <w:r>
              <w:rPr>
                <w:sz w:val="20"/>
                <w:szCs w:val="20"/>
              </w:rPr>
              <w:t>Visoka razina do 2022.; dramatič</w:t>
            </w:r>
            <w:r w:rsidR="0040052F">
              <w:rPr>
                <w:sz w:val="20"/>
                <w:szCs w:val="20"/>
              </w:rPr>
              <w:t>an pad 2023. (-45%) zbog kamatnog soka</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Cijena najma</w:t>
            </w:r>
          </w:p>
        </w:tc>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Umjeren rast indeksa 2015.-2023.; usporavanje u 2024.-2025.</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Socijalna gradnja</w:t>
            </w:r>
          </w:p>
        </w:tc>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Jaki ARA sustav, al</w:t>
            </w:r>
            <w:r w:rsidR="00FE02B3">
              <w:rPr>
                <w:sz w:val="20"/>
                <w:szCs w:val="20"/>
              </w:rPr>
              <w:t>i u opadanju od 2010-ih; politič</w:t>
            </w:r>
            <w:r>
              <w:rPr>
                <w:sz w:val="20"/>
                <w:szCs w:val="20"/>
              </w:rPr>
              <w:t>ki rezovi od 2023.</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40052F">
            <w:r>
              <w:rPr>
                <w:sz w:val="20"/>
                <w:szCs w:val="20"/>
              </w:rPr>
              <w:t>Segregacija</w:t>
            </w:r>
          </w:p>
        </w:tc>
        <w:tc>
          <w:tcPr>
            <w:tcW w:w="5400" w:type="dxa"/>
            <w:tcBorders>
              <w:top w:val="single" w:sz="4" w:space="0" w:color="BBDEFB"/>
              <w:left w:val="single" w:sz="4" w:space="0" w:color="BBDEFB"/>
              <w:bottom w:val="single" w:sz="4" w:space="0" w:color="BBDEFB"/>
              <w:right w:val="single" w:sz="4" w:space="0" w:color="BBDEFB"/>
            </w:tcBorders>
            <w:shd w:val="clear" w:color="auto" w:fill="E3F2FD"/>
            <w:tcMar>
              <w:top w:w="80" w:type="dxa"/>
              <w:left w:w="120" w:type="dxa"/>
              <w:bottom w:w="80" w:type="dxa"/>
              <w:right w:w="120" w:type="dxa"/>
            </w:tcMar>
          </w:tcPr>
          <w:p w:rsidR="002C1764" w:rsidRDefault="00FE02B3">
            <w:r>
              <w:rPr>
                <w:sz w:val="20"/>
                <w:szCs w:val="20"/>
              </w:rPr>
              <w:t>Rastući</w:t>
            </w:r>
            <w:r w:rsidR="0040052F">
              <w:rPr>
                <w:sz w:val="20"/>
                <w:szCs w:val="20"/>
              </w:rPr>
              <w:t xml:space="preserve"> problem, osobito u Helsinkiju; potrebne </w:t>
            </w:r>
            <w:proofErr w:type="spellStart"/>
            <w:r w:rsidR="0040052F">
              <w:rPr>
                <w:sz w:val="20"/>
                <w:szCs w:val="20"/>
              </w:rPr>
              <w:t>proaktivne</w:t>
            </w:r>
            <w:proofErr w:type="spellEnd"/>
            <w:r w:rsidR="0040052F">
              <w:rPr>
                <w:sz w:val="20"/>
                <w:szCs w:val="20"/>
              </w:rPr>
              <w:t xml:space="preserve"> mjere</w:t>
            </w:r>
          </w:p>
        </w:tc>
      </w:tr>
      <w:tr w:rsidR="002C1764">
        <w:tblPrEx>
          <w:tblCellMar>
            <w:top w:w="0" w:type="dxa"/>
            <w:bottom w:w="0" w:type="dxa"/>
          </w:tblCellMar>
        </w:tblPrEx>
        <w:tc>
          <w:tcPr>
            <w:tcW w:w="36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40052F">
            <w:r>
              <w:rPr>
                <w:sz w:val="20"/>
                <w:szCs w:val="20"/>
              </w:rPr>
              <w:t>Aktualni rizici</w:t>
            </w:r>
          </w:p>
        </w:tc>
        <w:tc>
          <w:tcPr>
            <w:tcW w:w="5400" w:type="dxa"/>
            <w:tcBorders>
              <w:top w:val="single" w:sz="4" w:space="0" w:color="BBDEFB"/>
              <w:left w:val="single" w:sz="4" w:space="0" w:color="BBDEFB"/>
              <w:bottom w:val="single" w:sz="4" w:space="0" w:color="BBDEFB"/>
              <w:right w:val="single" w:sz="4" w:space="0" w:color="BBDEFB"/>
            </w:tcBorders>
            <w:shd w:val="clear" w:color="auto" w:fill="FFFFFF"/>
            <w:tcMar>
              <w:top w:w="80" w:type="dxa"/>
              <w:left w:w="120" w:type="dxa"/>
              <w:bottom w:w="80" w:type="dxa"/>
              <w:right w:w="120" w:type="dxa"/>
            </w:tcMar>
          </w:tcPr>
          <w:p w:rsidR="002C1764" w:rsidRDefault="00FE02B3">
            <w:r>
              <w:rPr>
                <w:sz w:val="20"/>
                <w:szCs w:val="20"/>
              </w:rPr>
              <w:t>Politič</w:t>
            </w:r>
            <w:r w:rsidR="0040052F">
              <w:rPr>
                <w:sz w:val="20"/>
                <w:szCs w:val="20"/>
              </w:rPr>
              <w:t>ki zao</w:t>
            </w:r>
            <w:r>
              <w:rPr>
                <w:sz w:val="20"/>
                <w:szCs w:val="20"/>
              </w:rPr>
              <w:t>kret 2023.; ukidanje prava koriš</w:t>
            </w:r>
            <w:r w:rsidR="0040052F">
              <w:rPr>
                <w:sz w:val="20"/>
                <w:szCs w:val="20"/>
              </w:rPr>
              <w:t>tenja; smanjenje ARA fonda</w:t>
            </w:r>
          </w:p>
        </w:tc>
      </w:tr>
    </w:tbl>
    <w:p w:rsidR="002C1764" w:rsidRDefault="00FE02B3" w:rsidP="00FE02B3">
      <w:pPr>
        <w:pBdr>
          <w:bottom w:val="single" w:sz="6" w:space="1" w:color="1565C0"/>
        </w:pBdr>
        <w:tabs>
          <w:tab w:val="left" w:pos="1236"/>
        </w:tabs>
        <w:spacing w:before="120" w:after="120"/>
      </w:pPr>
      <w:r>
        <w:tab/>
      </w:r>
    </w:p>
    <w:p w:rsidR="002C1764" w:rsidRDefault="002C1764">
      <w:pPr>
        <w:spacing w:before="40" w:after="100"/>
        <w:jc w:val="both"/>
      </w:pPr>
    </w:p>
    <w:sectPr w:rsidR="002C1764">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52F" w:rsidRDefault="0040052F">
      <w:r>
        <w:separator/>
      </w:r>
    </w:p>
  </w:endnote>
  <w:endnote w:type="continuationSeparator" w:id="0">
    <w:p w:rsidR="0040052F" w:rsidRDefault="0040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1764" w:rsidRDefault="0040052F">
    <w:pPr>
      <w:jc w:val="right"/>
    </w:pPr>
    <w:r>
      <w:rPr>
        <w:color w:val="888888"/>
        <w:sz w:val="18"/>
        <w:szCs w:val="18"/>
      </w:rPr>
      <w:t xml:space="preserve">Finska stambena politika  |  str. </w:t>
    </w:r>
    <w:r>
      <w:rPr>
        <w:color w:val="888888"/>
        <w:sz w:val="18"/>
        <w:szCs w:val="18"/>
      </w:rPr>
      <w:fldChar w:fldCharType="begin"/>
    </w:r>
    <w:r>
      <w:rPr>
        <w:color w:val="888888"/>
        <w:sz w:val="18"/>
        <w:szCs w:val="18"/>
      </w:rPr>
      <w:instrText>PAGE</w:instrText>
    </w:r>
    <w:r w:rsidR="00D06186">
      <w:rPr>
        <w:color w:val="888888"/>
        <w:sz w:val="18"/>
        <w:szCs w:val="18"/>
      </w:rPr>
      <w:fldChar w:fldCharType="separate"/>
    </w:r>
    <w:r w:rsidR="00C46DE5">
      <w:rPr>
        <w:noProof/>
        <w:color w:val="888888"/>
        <w:sz w:val="18"/>
        <w:szCs w:val="18"/>
      </w:rPr>
      <w:t>4</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52F" w:rsidRDefault="0040052F">
      <w:r>
        <w:separator/>
      </w:r>
    </w:p>
  </w:footnote>
  <w:footnote w:type="continuationSeparator" w:id="0">
    <w:p w:rsidR="0040052F" w:rsidRDefault="004005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B16D7"/>
    <w:multiLevelType w:val="hybridMultilevel"/>
    <w:tmpl w:val="EA6A7FA4"/>
    <w:lvl w:ilvl="0" w:tplc="135E66C0">
      <w:start w:val="1"/>
      <w:numFmt w:val="bullet"/>
      <w:lvlText w:val="●"/>
      <w:lvlJc w:val="left"/>
      <w:pPr>
        <w:ind w:left="720" w:hanging="360"/>
      </w:pPr>
    </w:lvl>
    <w:lvl w:ilvl="1" w:tplc="6F8845C0">
      <w:start w:val="1"/>
      <w:numFmt w:val="bullet"/>
      <w:lvlText w:val="○"/>
      <w:lvlJc w:val="left"/>
      <w:pPr>
        <w:ind w:left="1440" w:hanging="360"/>
      </w:pPr>
    </w:lvl>
    <w:lvl w:ilvl="2" w:tplc="31C6C2D0">
      <w:start w:val="1"/>
      <w:numFmt w:val="bullet"/>
      <w:lvlText w:val="■"/>
      <w:lvlJc w:val="left"/>
      <w:pPr>
        <w:ind w:left="2160" w:hanging="360"/>
      </w:pPr>
    </w:lvl>
    <w:lvl w:ilvl="3" w:tplc="577A519C">
      <w:start w:val="1"/>
      <w:numFmt w:val="bullet"/>
      <w:lvlText w:val="●"/>
      <w:lvlJc w:val="left"/>
      <w:pPr>
        <w:ind w:left="2880" w:hanging="360"/>
      </w:pPr>
    </w:lvl>
    <w:lvl w:ilvl="4" w:tplc="526AFE42">
      <w:start w:val="1"/>
      <w:numFmt w:val="bullet"/>
      <w:lvlText w:val="○"/>
      <w:lvlJc w:val="left"/>
      <w:pPr>
        <w:ind w:left="3600" w:hanging="360"/>
      </w:pPr>
    </w:lvl>
    <w:lvl w:ilvl="5" w:tplc="B62652F2">
      <w:start w:val="1"/>
      <w:numFmt w:val="bullet"/>
      <w:lvlText w:val="■"/>
      <w:lvlJc w:val="left"/>
      <w:pPr>
        <w:ind w:left="4320" w:hanging="360"/>
      </w:pPr>
    </w:lvl>
    <w:lvl w:ilvl="6" w:tplc="5E126D86">
      <w:start w:val="1"/>
      <w:numFmt w:val="bullet"/>
      <w:lvlText w:val="●"/>
      <w:lvlJc w:val="left"/>
      <w:pPr>
        <w:ind w:left="5040" w:hanging="360"/>
      </w:pPr>
    </w:lvl>
    <w:lvl w:ilvl="7" w:tplc="3CB2CD6A">
      <w:start w:val="1"/>
      <w:numFmt w:val="bullet"/>
      <w:lvlText w:val="●"/>
      <w:lvlJc w:val="left"/>
      <w:pPr>
        <w:ind w:left="5760" w:hanging="360"/>
      </w:pPr>
    </w:lvl>
    <w:lvl w:ilvl="8" w:tplc="DDFCBAB6">
      <w:start w:val="1"/>
      <w:numFmt w:val="bullet"/>
      <w:lvlText w:val="●"/>
      <w:lvlJc w:val="left"/>
      <w:pPr>
        <w:ind w:left="6480" w:hanging="360"/>
      </w:pPr>
    </w:lvl>
  </w:abstractNum>
  <w:abstractNum w:abstractNumId="1" w15:restartNumberingAfterBreak="0">
    <w:nsid w:val="2BCF4D49"/>
    <w:multiLevelType w:val="hybridMultilevel"/>
    <w:tmpl w:val="69729C42"/>
    <w:lvl w:ilvl="0" w:tplc="157207BA">
      <w:start w:val="1"/>
      <w:numFmt w:val="bullet"/>
      <w:lvlText w:val="•"/>
      <w:lvlJc w:val="left"/>
      <w:pPr>
        <w:ind w:left="720" w:hanging="360"/>
      </w:pPr>
    </w:lvl>
    <w:lvl w:ilvl="1" w:tplc="A970A8C0">
      <w:numFmt w:val="decimal"/>
      <w:lvlText w:val=""/>
      <w:lvlJc w:val="left"/>
    </w:lvl>
    <w:lvl w:ilvl="2" w:tplc="3CFC063C">
      <w:numFmt w:val="decimal"/>
      <w:lvlText w:val=""/>
      <w:lvlJc w:val="left"/>
    </w:lvl>
    <w:lvl w:ilvl="3" w:tplc="AB402888">
      <w:numFmt w:val="decimal"/>
      <w:lvlText w:val=""/>
      <w:lvlJc w:val="left"/>
    </w:lvl>
    <w:lvl w:ilvl="4" w:tplc="5088D810">
      <w:numFmt w:val="decimal"/>
      <w:lvlText w:val=""/>
      <w:lvlJc w:val="left"/>
    </w:lvl>
    <w:lvl w:ilvl="5" w:tplc="628ACD7E">
      <w:numFmt w:val="decimal"/>
      <w:lvlText w:val=""/>
      <w:lvlJc w:val="left"/>
    </w:lvl>
    <w:lvl w:ilvl="6" w:tplc="F3AEE9E2">
      <w:numFmt w:val="decimal"/>
      <w:lvlText w:val=""/>
      <w:lvlJc w:val="left"/>
    </w:lvl>
    <w:lvl w:ilvl="7" w:tplc="30E2DB3C">
      <w:numFmt w:val="decimal"/>
      <w:lvlText w:val=""/>
      <w:lvlJc w:val="left"/>
    </w:lvl>
    <w:lvl w:ilvl="8" w:tplc="2D00ACE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764"/>
    <w:rsid w:val="002C1764"/>
    <w:rsid w:val="0040052F"/>
    <w:rsid w:val="00566021"/>
    <w:rsid w:val="005D4A68"/>
    <w:rsid w:val="00976BFA"/>
    <w:rsid w:val="00C46DE5"/>
    <w:rsid w:val="00D06186"/>
    <w:rsid w:val="00F1717B"/>
    <w:rsid w:val="00FE0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37DF"/>
  <w15:docId w15:val="{A67B0A38-1BC5-4AE2-A9AB-F481035D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qFormat/>
    <w:pPr>
      <w:spacing w:before="360" w:after="180"/>
      <w:outlineLvl w:val="0"/>
    </w:pPr>
    <w:rPr>
      <w:b/>
      <w:bCs/>
      <w:color w:val="1565C0"/>
      <w:sz w:val="32"/>
      <w:szCs w:val="32"/>
    </w:rPr>
  </w:style>
  <w:style w:type="paragraph" w:styleId="Naslov2">
    <w:name w:val="heading 2"/>
    <w:qFormat/>
    <w:pPr>
      <w:spacing w:before="240" w:after="120"/>
      <w:outlineLvl w:val="1"/>
    </w:pPr>
    <w:rPr>
      <w:b/>
      <w:bCs/>
      <w:color w:val="1A237E"/>
      <w:sz w:val="26"/>
      <w:szCs w:val="26"/>
    </w:rPr>
  </w:style>
  <w:style w:type="paragraph" w:styleId="Naslov3">
    <w:name w:val="heading 3"/>
    <w:qFormat/>
    <w:pPr>
      <w:outlineLvl w:val="2"/>
    </w:pPr>
    <w:rPr>
      <w:color w:val="1F4D78"/>
      <w:sz w:val="24"/>
      <w:szCs w:val="24"/>
    </w:rPr>
  </w:style>
  <w:style w:type="paragraph" w:styleId="Naslov4">
    <w:name w:val="heading 4"/>
    <w:qFormat/>
    <w:pPr>
      <w:outlineLvl w:val="3"/>
    </w:pPr>
    <w:rPr>
      <w:i/>
      <w:iCs/>
      <w:color w:val="2E74B5"/>
    </w:rPr>
  </w:style>
  <w:style w:type="paragraph" w:styleId="Naslov5">
    <w:name w:val="heading 5"/>
    <w:qFormat/>
    <w:pPr>
      <w:outlineLvl w:val="4"/>
    </w:pPr>
    <w:rPr>
      <w:color w:val="2E74B5"/>
    </w:rPr>
  </w:style>
  <w:style w:type="paragraph" w:styleId="Naslov6">
    <w:name w:val="heading 6"/>
    <w:qFormat/>
    <w:pPr>
      <w:outlineLvl w:val="5"/>
    </w:pPr>
    <w:rPr>
      <w:color w:val="1F4D7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qFormat/>
    <w:rPr>
      <w:sz w:val="56"/>
      <w:szCs w:val="56"/>
    </w:rPr>
  </w:style>
  <w:style w:type="paragraph" w:customStyle="1" w:styleId="Naglaeno1">
    <w:name w:val="Naglašeno1"/>
    <w:qFormat/>
    <w:rPr>
      <w:b/>
      <w:bCs/>
    </w:rPr>
  </w:style>
  <w:style w:type="paragraph" w:styleId="Odlomakpopisa">
    <w:name w:val="List Paragraph"/>
    <w:qFormat/>
  </w:style>
  <w:style w:type="character" w:styleId="Hiperveza">
    <w:name w:val="Hyperlink"/>
    <w:uiPriority w:val="99"/>
    <w:unhideWhenUsed/>
    <w:rPr>
      <w:color w:val="0563C1"/>
      <w:u w:val="single"/>
    </w:rPr>
  </w:style>
  <w:style w:type="character" w:styleId="Referencafusnote">
    <w:name w:val="footnote reference"/>
    <w:uiPriority w:val="99"/>
    <w:semiHidden/>
    <w:unhideWhenUsed/>
    <w:rPr>
      <w:vertAlign w:val="superscript"/>
    </w:rPr>
  </w:style>
  <w:style w:type="paragraph" w:styleId="Tekstfusnote">
    <w:name w:val="footnote text"/>
    <w:link w:val="TekstfusnoteChar"/>
    <w:uiPriority w:val="99"/>
    <w:semiHidden/>
    <w:unhideWhenUsed/>
    <w:rPr>
      <w:sz w:val="20"/>
      <w:szCs w:val="20"/>
    </w:rPr>
  </w:style>
  <w:style w:type="character" w:customStyle="1" w:styleId="TekstfusnoteChar">
    <w:name w:val="Tekst fusnote Char"/>
    <w:link w:val="Tekstfusnote"/>
    <w:uiPriority w:val="99"/>
    <w:semiHidden/>
    <w:unhideWhenUsed/>
    <w:rPr>
      <w:sz w:val="20"/>
      <w:szCs w:val="20"/>
    </w:rPr>
  </w:style>
  <w:style w:type="character" w:styleId="Referencakrajnjebiljeke">
    <w:name w:val="endnote reference"/>
    <w:uiPriority w:val="99"/>
    <w:semiHidden/>
    <w:unhideWhenUsed/>
    <w:rPr>
      <w:vertAlign w:val="superscript"/>
    </w:rPr>
  </w:style>
  <w:style w:type="paragraph" w:styleId="Tekstkrajnjebiljeke">
    <w:name w:val="endnote text"/>
    <w:link w:val="TekstkrajnjebiljekeChar"/>
    <w:uiPriority w:val="99"/>
    <w:semiHidden/>
    <w:unhideWhenUsed/>
    <w:rPr>
      <w:sz w:val="20"/>
      <w:szCs w:val="20"/>
    </w:rPr>
  </w:style>
  <w:style w:type="character" w:customStyle="1" w:styleId="TekstkrajnjebiljekeChar">
    <w:name w:val="Tekst krajnje bilješke Char"/>
    <w:link w:val="Tekstkrajnjebiljeke"/>
    <w:uiPriority w:val="99"/>
    <w:semiHidden/>
    <w:unhideWhenUsed/>
    <w:rPr>
      <w:sz w:val="20"/>
      <w:szCs w:val="20"/>
    </w:rPr>
  </w:style>
  <w:style w:type="character" w:styleId="Naglaeno">
    <w:name w:val="Strong"/>
    <w:basedOn w:val="Zadanifontodlomka"/>
    <w:uiPriority w:val="22"/>
    <w:qFormat/>
    <w:rsid w:val="00976BFA"/>
    <w:rPr>
      <w:b/>
      <w:bCs/>
    </w:rPr>
  </w:style>
  <w:style w:type="paragraph" w:styleId="StandardWeb">
    <w:name w:val="Normal (Web)"/>
    <w:basedOn w:val="Normal"/>
    <w:uiPriority w:val="99"/>
    <w:semiHidden/>
    <w:unhideWhenUsed/>
    <w:rsid w:val="00976BFA"/>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25181">
      <w:bodyDiv w:val="1"/>
      <w:marLeft w:val="0"/>
      <w:marRight w:val="0"/>
      <w:marTop w:val="0"/>
      <w:marBottom w:val="0"/>
      <w:divBdr>
        <w:top w:val="none" w:sz="0" w:space="0" w:color="auto"/>
        <w:left w:val="none" w:sz="0" w:space="0" w:color="auto"/>
        <w:bottom w:val="none" w:sz="0" w:space="0" w:color="auto"/>
        <w:right w:val="none" w:sz="0" w:space="0" w:color="auto"/>
      </w:divBdr>
    </w:div>
    <w:div w:id="9776081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TotalTime>
  <Pages>7</Pages>
  <Words>1820</Words>
  <Characters>10380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Korisnik</cp:lastModifiedBy>
  <cp:revision>4</cp:revision>
  <dcterms:created xsi:type="dcterms:W3CDTF">2026-04-17T11:19:00Z</dcterms:created>
  <dcterms:modified xsi:type="dcterms:W3CDTF">2026-04-18T06:43:00Z</dcterms:modified>
</cp:coreProperties>
</file>